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9D43" w14:textId="7B965FCD" w:rsidR="004B46DD" w:rsidRPr="00B25961" w:rsidRDefault="004B46DD" w:rsidP="00B25961">
      <w:pPr>
        <w:spacing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Construction Risk Management</w:t>
      </w:r>
    </w:p>
    <w:p w14:paraId="4B38212E" w14:textId="15D86CD4" w:rsidR="004B46DD" w:rsidRPr="00B25961" w:rsidRDefault="004B46DD" w:rsidP="00B25961">
      <w:p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Construction risk management is the process of evaluating and implementing procedures to reduce the impact of risks in construction projects</w:t>
      </w:r>
      <w:r w:rsidR="002B33D7">
        <w:rPr>
          <w:lang w:val="en-US"/>
        </w:rPr>
        <w:t>.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This </w:t>
      </w:r>
      <w:r w:rsidR="00D7165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process entails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thorough planning to create a risk management plan </w:t>
      </w:r>
      <w:r w:rsidR="00D7165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at the onset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that allows project managers to identify, monitor and mitigate risks as they arise.</w:t>
      </w:r>
    </w:p>
    <w:p w14:paraId="403CF822" w14:textId="397D7CFD" w:rsidR="004B46DD" w:rsidRPr="00B25961" w:rsidRDefault="004B46DD" w:rsidP="00B25961">
      <w:pPr>
        <w:spacing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The Construction Risk Management Process</w:t>
      </w:r>
      <w:r w:rsidR="00402FC6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402FC6" w:rsidRPr="00402FC6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involves the following steps:</w:t>
      </w:r>
    </w:p>
    <w:p w14:paraId="68917A46" w14:textId="71306A00" w:rsidR="00076389" w:rsidRDefault="00402FC6" w:rsidP="00A25D29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Identification: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entails making a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list of every possible 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risk that may arise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. 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The list can be generated after </w:t>
      </w:r>
      <w:r w:rsidR="009A65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risk research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, a talk to the construction workers or historical data of previous construction </w:t>
      </w:r>
      <w:r w:rsidR="009A65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projects.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</w:p>
    <w:p w14:paraId="5EA1FBA0" w14:textId="0DC2B80D" w:rsidR="004B46DD" w:rsidRPr="00076389" w:rsidRDefault="00402FC6" w:rsidP="00A25D29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Assessment: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</w:t>
      </w:r>
      <w:r w:rsidR="0064452C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is done because risks weigh differently whereby some are more likely to happen than others. The use of a risk matrix is of good help since it details the likelihood of each risk as well as its impact.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</w:p>
    <w:p w14:paraId="073F11E1" w14:textId="3D516BB7" w:rsidR="004B46DD" w:rsidRPr="00474BE0" w:rsidRDefault="00402FC6" w:rsidP="00474BE0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474BE0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Planning: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Once risks have been identified and prioritized based on their likelihood and potential impact, a construction risk management plan should be developed. This document </w:t>
      </w:r>
      <w:r w:rsidR="00F503D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details 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how risks will be managed throughout the construction project.</w:t>
      </w:r>
    </w:p>
    <w:p w14:paraId="199D95AB" w14:textId="12B6FD1F" w:rsidR="004B46DD" w:rsidRPr="00474BE0" w:rsidRDefault="00402FC6" w:rsidP="00474BE0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474BE0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Mitigation: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This</w:t>
      </w:r>
      <w:r w:rsidR="0025574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stage entails 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implement</w:t>
      </w:r>
      <w:r w:rsidR="0025574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ing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076389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</w:t>
      </w:r>
      <w:r w:rsidR="00076389" w:rsidRPr="00474BE0">
        <w:rPr>
          <w:rFonts w:ascii="Garamond" w:eastAsia="Times New Roman" w:hAnsi="Garamond" w:cs="Arial"/>
          <w:kern w:val="0"/>
          <w:sz w:val="24"/>
          <w:szCs w:val="24"/>
          <w:lang w:val="en-US"/>
          <w14:ligatures w14:val="none"/>
        </w:rPr>
        <w:t xml:space="preserve"> strategy that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will </w:t>
      </w:r>
      <w:r w:rsidR="00255747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improve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the impact of the risks you identified earlier </w:t>
      </w:r>
      <w:r w:rsidR="00076389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once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they occur. These</w:t>
      </w:r>
      <w:r w:rsidR="0025574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strategies must be shared with the risk owner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who will be responsible for ensuring risk mitigation.</w:t>
      </w:r>
    </w:p>
    <w:p w14:paraId="4D838C0D" w14:textId="2F076C45" w:rsidR="004B46DD" w:rsidRPr="00474BE0" w:rsidRDefault="00E61CC1" w:rsidP="00474BE0">
      <w:pPr>
        <w:pStyle w:val="ListParagraph"/>
        <w:numPr>
          <w:ilvl w:val="0"/>
          <w:numId w:val="3"/>
        </w:num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474BE0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Monitoring: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 Th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is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comprises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of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monitoring the effectiveness of your mitigation plan. 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It involves engaging several project stakeholders 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to </w:t>
      </w:r>
      <w:r w:rsidR="00474BE0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help and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empower the team to respond to risk</w:t>
      </w:r>
      <w:r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s</w:t>
      </w:r>
      <w:r w:rsidR="004B46DD" w:rsidRPr="00474BE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. </w:t>
      </w:r>
    </w:p>
    <w:p w14:paraId="31734AB5" w14:textId="73B6DADC" w:rsidR="00076389" w:rsidRPr="00076389" w:rsidRDefault="00E61CC1" w:rsidP="00A6611C">
      <w:pPr>
        <w:pStyle w:val="ListParagraph"/>
        <w:numPr>
          <w:ilvl w:val="0"/>
          <w:numId w:val="3"/>
        </w:num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Risk </w:t>
      </w:r>
      <w:r w:rsidR="004B46DD"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Reporting: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Your </w:t>
      </w:r>
      <w:r w:rsidR="00474BE0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risk management construction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plan should be analyzed and shared with the 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construction workers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and stakeholders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for </w:t>
      </w:r>
      <w:r w:rsidR="005951F3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 better</w:t>
      </w:r>
      <w:r w:rsidR="0077783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evaluation of the 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effectiveness of the </w:t>
      </w:r>
      <w:r w:rsidR="00777838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possibility</w:t>
      </w:r>
      <w:r w:rsidR="004B46DD" w:rsidRPr="0007638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plan. </w:t>
      </w:r>
    </w:p>
    <w:p w14:paraId="606D5AA2" w14:textId="4A7C1BDE" w:rsidR="009546B7" w:rsidRPr="009546B7" w:rsidRDefault="009546B7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</w:pPr>
      <w:r w:rsidRPr="009546B7"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>Group discussions</w:t>
      </w:r>
      <w:r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>: In groups of three, examine the possible construction risks and suggest</w:t>
      </w:r>
      <w:r w:rsidR="00BE7012"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 xml:space="preserve"> ways</w:t>
      </w:r>
      <w:r>
        <w:rPr>
          <w:rFonts w:ascii="Garamond" w:eastAsia="Times New Roman" w:hAnsi="Garamond" w:cs="Arial"/>
          <w:b/>
          <w:bCs/>
          <w:i/>
          <w:iCs/>
          <w:color w:val="101423"/>
          <w:kern w:val="0"/>
          <w:sz w:val="24"/>
          <w:szCs w:val="24"/>
          <w:lang w:val="en-US"/>
          <w14:ligatures w14:val="none"/>
        </w:rPr>
        <w:t xml:space="preserve"> to mitigate each risk mentioned.</w:t>
      </w:r>
    </w:p>
    <w:p w14:paraId="158EF0BF" w14:textId="77777777" w:rsidR="00BE7012" w:rsidRDefault="00BE7012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</w:p>
    <w:p w14:paraId="214B3880" w14:textId="77777777" w:rsidR="00BE7012" w:rsidRDefault="00BE7012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</w:p>
    <w:p w14:paraId="0E5E85C9" w14:textId="27B68CFB" w:rsidR="004B46DD" w:rsidRPr="00076389" w:rsidRDefault="004B46DD" w:rsidP="00076389">
      <w:pPr>
        <w:spacing w:before="375" w:after="45" w:line="420" w:lineRule="atLeast"/>
        <w:jc w:val="both"/>
        <w:outlineLvl w:val="1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lastRenderedPageBreak/>
        <w:t>Construction Risk Management Plan</w:t>
      </w:r>
    </w:p>
    <w:p w14:paraId="49C72D58" w14:textId="5CA0FBBC" w:rsidR="00774800" w:rsidRDefault="004B46DD" w:rsidP="00774800">
      <w:pPr>
        <w:spacing w:before="375" w:after="375" w:line="420" w:lineRule="atLeast"/>
        <w:jc w:val="both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 construction risk management plan (CRMP) </w:t>
      </w:r>
      <w:r w:rsidR="0077480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is a roadmap that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defines the strategies and procedures to identify, assess and mitigate construction risks. </w:t>
      </w:r>
      <w:r w:rsidR="00774800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plan is vital in delivering a successful construction project. </w:t>
      </w:r>
    </w:p>
    <w:p w14:paraId="1ED7611B" w14:textId="38E1CECC" w:rsidR="004B46DD" w:rsidRPr="00B25961" w:rsidRDefault="004B46DD" w:rsidP="00774800">
      <w:pPr>
        <w:spacing w:before="375" w:after="375" w:line="420" w:lineRule="atLeast"/>
        <w:jc w:val="both"/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</w:pPr>
      <w:r w:rsidRPr="00B25961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Construction Risk Management Plan</w:t>
      </w:r>
      <w:r w:rsidR="00076389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 xml:space="preserve"> Components</w:t>
      </w:r>
    </w:p>
    <w:p w14:paraId="71DE275D" w14:textId="08730C10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B65644">
        <w:rPr>
          <w:rFonts w:ascii="Garamond" w:eastAsia="Times New Roman" w:hAnsi="Garamond" w:cs="Arial"/>
          <w:b/>
          <w:bCs/>
          <w:kern w:val="0"/>
          <w:sz w:val="24"/>
          <w:szCs w:val="24"/>
          <w:lang w:val="en-US"/>
          <w14:ligatures w14:val="none"/>
        </w:rPr>
        <w:t>Construction Risk Register</w:t>
      </w:r>
      <w:r w:rsidR="00B65644" w:rsidRPr="00B65644">
        <w:rPr>
          <w:rFonts w:ascii="Garamond" w:eastAsia="Times New Roman" w:hAnsi="Garamond" w:cs="Arial"/>
          <w:b/>
          <w:bCs/>
          <w:kern w:val="0"/>
          <w:sz w:val="24"/>
          <w:szCs w:val="24"/>
          <w:lang w:val="en-US"/>
          <w14:ligatures w14:val="none"/>
        </w:rPr>
        <w:t>:</w:t>
      </w:r>
      <w:r w:rsidR="00B65644" w:rsidRPr="00B65644">
        <w:rPr>
          <w:rFonts w:ascii="Garamond" w:eastAsia="Times New Roman" w:hAnsi="Garamond" w:cs="Arial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This detailed document outlines </w:t>
      </w:r>
      <w:r w:rsidR="00B76A8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all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the risk categories to consider for the construction project. It should also include a risk owner, risk response strategies and contingency planning if unforeseen circumstances arise.</w:t>
      </w:r>
    </w:p>
    <w:p w14:paraId="76DB2B96" w14:textId="5F0CD6C7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Construction Risk Matrix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 construction </w:t>
      </w:r>
      <w:hyperlink r:id="rId7" w:history="1">
        <w:r w:rsidRPr="00474BE0">
          <w:rPr>
            <w:rFonts w:ascii="Garamond" w:eastAsia="Times New Roman" w:hAnsi="Garamond" w:cs="Arial"/>
            <w:kern w:val="0"/>
            <w:sz w:val="24"/>
            <w:szCs w:val="24"/>
            <w:lang w:val="en-US"/>
            <w14:ligatures w14:val="none"/>
          </w:rPr>
          <w:t>risk matrix</w:t>
        </w:r>
      </w:hyperlink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 is a visual tool that helps assess and prioritize potential risks in a construction project. It helps the team focus on the most important risks that could have a significant impact on the project’s budget, timeline or quality. </w:t>
      </w:r>
      <w:r w:rsidR="00D87FC7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A simple risk matrix is shown below.</w:t>
      </w:r>
    </w:p>
    <w:p w14:paraId="6DD5B79F" w14:textId="0B7ABD39" w:rsidR="004B46DD" w:rsidRPr="00B25961" w:rsidRDefault="00A911F2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>
        <w:rPr>
          <w:noProof/>
        </w:rPr>
        <w:drawing>
          <wp:inline distT="0" distB="0" distL="0" distR="0" wp14:anchorId="2CC76224" wp14:editId="1C4C07EA">
            <wp:extent cx="5939790" cy="1679575"/>
            <wp:effectExtent l="0" t="0" r="3810" b="0"/>
            <wp:docPr id="742461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6DD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Risk Response Actions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4B46DD"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These are strategies used to help identify risks in a construction project</w:t>
      </w:r>
      <w:r w:rsidR="00AC1FC8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to </w:t>
      </w:r>
      <w:r w:rsidR="004B46DD"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mitigate, transfer, avoid or accept the risk. </w:t>
      </w:r>
    </w:p>
    <w:p w14:paraId="5AF6F44A" w14:textId="7D8CE8DF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Risk Management Team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This team is responsible for communicating</w:t>
      </w:r>
      <w:r w:rsidR="00FE076F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all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information to relevant stakeholders to keep them informed of changes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that may come along during the construction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.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 </w:t>
      </w:r>
    </w:p>
    <w:p w14:paraId="4C925736" w14:textId="6A9DB151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Risk Budget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Th</w:t>
      </w:r>
      <w:r w:rsidR="00FE076F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is entails creating funds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to cover unexpected costs or potential losses that arise from identified risks in a construction project. </w:t>
      </w:r>
    </w:p>
    <w:p w14:paraId="21870052" w14:textId="01554CE3" w:rsidR="004B46DD" w:rsidRPr="00B25961" w:rsidRDefault="004B46DD" w:rsidP="00B65644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Key Risk Indicators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Key risk indicators monitor and assess potential risks 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of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the project in terms of finances, scheduling, quality, safety and legal matters. 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These key indicators </w:t>
      </w:r>
      <w:r w:rsidR="005D423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must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be trailed </w:t>
      </w:r>
      <w:r w:rsidR="005D4239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to</w:t>
      </w:r>
      <w:r w:rsidR="00BE7012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address risks on time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>.</w:t>
      </w:r>
    </w:p>
    <w:p w14:paraId="522DA731" w14:textId="400DEBEF" w:rsidR="00F12C76" w:rsidRPr="006F6548" w:rsidRDefault="004B46DD" w:rsidP="006F6548">
      <w:pPr>
        <w:spacing w:after="162" w:line="420" w:lineRule="atLeast"/>
        <w:jc w:val="both"/>
        <w:outlineLvl w:val="2"/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</w:pPr>
      <w:r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lastRenderedPageBreak/>
        <w:t>Communication Plan</w:t>
      </w:r>
      <w:r w:rsidR="00B65644" w:rsidRPr="00301805">
        <w:rPr>
          <w:rFonts w:ascii="Garamond" w:eastAsia="Times New Roman" w:hAnsi="Garamond" w:cs="Arial"/>
          <w:b/>
          <w:bCs/>
          <w:color w:val="101423"/>
          <w:kern w:val="0"/>
          <w:sz w:val="24"/>
          <w:szCs w:val="24"/>
          <w:lang w:val="en-US"/>
          <w14:ligatures w14:val="none"/>
        </w:rPr>
        <w:t>:</w:t>
      </w:r>
      <w:r w:rsidR="00B65644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 </w:t>
      </w:r>
      <w:r w:rsidR="00B14D2D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 good communication plan </w:t>
      </w:r>
      <w:r w:rsidRPr="00B25961">
        <w:rPr>
          <w:rFonts w:ascii="Garamond" w:eastAsia="Times New Roman" w:hAnsi="Garamond" w:cs="Arial"/>
          <w:color w:val="101423"/>
          <w:kern w:val="0"/>
          <w:sz w:val="24"/>
          <w:szCs w:val="24"/>
          <w:lang w:val="en-US"/>
          <w14:ligatures w14:val="none"/>
        </w:rPr>
        <w:t xml:space="preserve">allows all project stakeholders, including the project team, subcontractors, clients, suppliers and local community members to be on the same page. </w:t>
      </w:r>
    </w:p>
    <w:sectPr w:rsidR="00F12C76" w:rsidRPr="006F6548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CB61" w14:textId="77777777" w:rsidR="00A72B53" w:rsidRDefault="00A72B53" w:rsidP="00CC3C88">
      <w:pPr>
        <w:spacing w:after="0"/>
      </w:pPr>
      <w:r>
        <w:separator/>
      </w:r>
    </w:p>
  </w:endnote>
  <w:endnote w:type="continuationSeparator" w:id="0">
    <w:p w14:paraId="4E4BA67D" w14:textId="77777777" w:rsidR="00A72B53" w:rsidRDefault="00A72B53" w:rsidP="00CC3C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75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3A80A" w14:textId="3C3ADE88" w:rsidR="00CC3C88" w:rsidRDefault="00CC3C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A6168" w14:textId="77777777" w:rsidR="00CC3C88" w:rsidRDefault="00CC3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F384" w14:textId="77777777" w:rsidR="00A72B53" w:rsidRDefault="00A72B53" w:rsidP="00CC3C88">
      <w:pPr>
        <w:spacing w:after="0"/>
      </w:pPr>
      <w:r>
        <w:separator/>
      </w:r>
    </w:p>
  </w:footnote>
  <w:footnote w:type="continuationSeparator" w:id="0">
    <w:p w14:paraId="34F17F45" w14:textId="77777777" w:rsidR="00A72B53" w:rsidRDefault="00A72B53" w:rsidP="00CC3C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56E7"/>
    <w:multiLevelType w:val="multilevel"/>
    <w:tmpl w:val="4458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60FFC"/>
    <w:multiLevelType w:val="hybridMultilevel"/>
    <w:tmpl w:val="F7F4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E3F0B"/>
    <w:multiLevelType w:val="hybridMultilevel"/>
    <w:tmpl w:val="9ADE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A26CE"/>
    <w:multiLevelType w:val="multilevel"/>
    <w:tmpl w:val="CCA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93615">
    <w:abstractNumId w:val="3"/>
  </w:num>
  <w:num w:numId="2" w16cid:durableId="1438523139">
    <w:abstractNumId w:val="0"/>
  </w:num>
  <w:num w:numId="3" w16cid:durableId="1727559300">
    <w:abstractNumId w:val="1"/>
  </w:num>
  <w:num w:numId="4" w16cid:durableId="104636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DD"/>
    <w:rsid w:val="00076389"/>
    <w:rsid w:val="000D0ABF"/>
    <w:rsid w:val="001B2FAF"/>
    <w:rsid w:val="00255747"/>
    <w:rsid w:val="002B33D7"/>
    <w:rsid w:val="00301805"/>
    <w:rsid w:val="00356488"/>
    <w:rsid w:val="003F5A72"/>
    <w:rsid w:val="00402FC6"/>
    <w:rsid w:val="00474BE0"/>
    <w:rsid w:val="004B46DD"/>
    <w:rsid w:val="005951F3"/>
    <w:rsid w:val="0059666C"/>
    <w:rsid w:val="005D4239"/>
    <w:rsid w:val="0064452C"/>
    <w:rsid w:val="006B23D1"/>
    <w:rsid w:val="006C0B77"/>
    <w:rsid w:val="006F6548"/>
    <w:rsid w:val="00774800"/>
    <w:rsid w:val="00777838"/>
    <w:rsid w:val="007A57C5"/>
    <w:rsid w:val="008242FF"/>
    <w:rsid w:val="00870751"/>
    <w:rsid w:val="00893712"/>
    <w:rsid w:val="00922C48"/>
    <w:rsid w:val="009546B7"/>
    <w:rsid w:val="009A6561"/>
    <w:rsid w:val="00A72B53"/>
    <w:rsid w:val="00A911F2"/>
    <w:rsid w:val="00AC1FC8"/>
    <w:rsid w:val="00B14D2D"/>
    <w:rsid w:val="00B25961"/>
    <w:rsid w:val="00B65644"/>
    <w:rsid w:val="00B76A81"/>
    <w:rsid w:val="00B915B7"/>
    <w:rsid w:val="00BE7012"/>
    <w:rsid w:val="00CC3C88"/>
    <w:rsid w:val="00D453F5"/>
    <w:rsid w:val="00D63F51"/>
    <w:rsid w:val="00D71651"/>
    <w:rsid w:val="00D87FC7"/>
    <w:rsid w:val="00DA09BA"/>
    <w:rsid w:val="00DD7342"/>
    <w:rsid w:val="00E61CC1"/>
    <w:rsid w:val="00EA59DF"/>
    <w:rsid w:val="00EE4070"/>
    <w:rsid w:val="00F12C76"/>
    <w:rsid w:val="00F503D8"/>
    <w:rsid w:val="00F97E6E"/>
    <w:rsid w:val="00FD45E5"/>
    <w:rsid w:val="00FE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3AB5"/>
  <w15:chartTrackingRefBased/>
  <w15:docId w15:val="{C20A36E4-2511-4B3F-B510-26254F56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6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6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6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6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6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6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6D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6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6D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6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D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46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6D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B4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6D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6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6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B46DD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3C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3C8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C3C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3C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projectmanager.com/blog/risk-assessment-matrix-for-qualitative-analy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3097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Kitulazzi</dc:creator>
  <cp:keywords/>
  <dc:description/>
  <cp:lastModifiedBy>David Kitulazzi</cp:lastModifiedBy>
  <cp:revision>4</cp:revision>
  <dcterms:created xsi:type="dcterms:W3CDTF">2026-02-25T11:28:00Z</dcterms:created>
  <dcterms:modified xsi:type="dcterms:W3CDTF">2026-04-15T10:21:00Z</dcterms:modified>
</cp:coreProperties>
</file>