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8C18" w14:textId="77777777" w:rsidR="00966E02" w:rsidRPr="008408F5" w:rsidRDefault="00966E02" w:rsidP="00966E02">
      <w:pPr>
        <w:spacing w:line="276" w:lineRule="auto"/>
        <w:jc w:val="center"/>
        <w:rPr>
          <w:rFonts w:ascii="Georgia" w:hAnsi="Georgia" w:cs="Times New Roman"/>
          <w:b/>
          <w:bCs/>
          <w:color w:val="000000" w:themeColor="text1"/>
        </w:rPr>
      </w:pPr>
      <w:r w:rsidRPr="008408F5">
        <w:rPr>
          <w:rFonts w:ascii="Georgia" w:hAnsi="Georgia" w:cs="Times New Roman"/>
          <w:b/>
          <w:bCs/>
          <w:color w:val="000000" w:themeColor="text1"/>
        </w:rPr>
        <w:t>TOPIC SIX</w:t>
      </w:r>
    </w:p>
    <w:p w14:paraId="21F9B700" w14:textId="13D537BA" w:rsidR="00F0387C" w:rsidRPr="008408F5" w:rsidRDefault="00837279" w:rsidP="00966E02">
      <w:pPr>
        <w:spacing w:line="276" w:lineRule="auto"/>
        <w:jc w:val="center"/>
        <w:rPr>
          <w:rFonts w:ascii="Georgia" w:hAnsi="Georgia" w:cs="Times New Roman"/>
          <w:b/>
          <w:bCs/>
          <w:color w:val="000000" w:themeColor="text1"/>
        </w:rPr>
      </w:pPr>
      <w:r w:rsidRPr="008408F5">
        <w:rPr>
          <w:rFonts w:ascii="Georgia" w:hAnsi="Georgia" w:cs="Times New Roman"/>
          <w:b/>
          <w:bCs/>
          <w:color w:val="000000" w:themeColor="text1"/>
        </w:rPr>
        <w:t>RISK CULTURE, APPETITE AND TOLERANCE</w:t>
      </w:r>
    </w:p>
    <w:p w14:paraId="1F0AF051" w14:textId="1902CC4A" w:rsidR="00F0387C" w:rsidRPr="008408F5" w:rsidRDefault="00837279" w:rsidP="00966E02">
      <w:pPr>
        <w:spacing w:line="276" w:lineRule="auto"/>
        <w:jc w:val="both"/>
        <w:rPr>
          <w:rFonts w:ascii="Georgia" w:hAnsi="Georgia" w:cs="Times New Roman"/>
          <w:color w:val="000000" w:themeColor="text1"/>
        </w:rPr>
      </w:pPr>
      <w:r w:rsidRPr="008408F5">
        <w:rPr>
          <w:rFonts w:ascii="Georgia" w:hAnsi="Georgia" w:cs="Times New Roman"/>
          <w:color w:val="000000" w:themeColor="text1"/>
        </w:rPr>
        <w:t>R</w:t>
      </w:r>
      <w:r w:rsidR="00F0387C" w:rsidRPr="008408F5">
        <w:rPr>
          <w:rFonts w:ascii="Georgia" w:hAnsi="Georgia" w:cs="Times New Roman"/>
          <w:color w:val="000000" w:themeColor="text1"/>
        </w:rPr>
        <w:t xml:space="preserve">isk appetite refers to the amount of risk a business is willing to take </w:t>
      </w:r>
      <w:r w:rsidR="00E37ADA" w:rsidRPr="008408F5">
        <w:rPr>
          <w:rFonts w:ascii="Georgia" w:hAnsi="Georgia" w:cs="Times New Roman"/>
          <w:color w:val="000000" w:themeColor="text1"/>
        </w:rPr>
        <w:t>to</w:t>
      </w:r>
      <w:r w:rsidR="00F0387C" w:rsidRPr="008408F5">
        <w:rPr>
          <w:rFonts w:ascii="Georgia" w:hAnsi="Georgia" w:cs="Times New Roman"/>
          <w:color w:val="000000" w:themeColor="text1"/>
        </w:rPr>
        <w:t xml:space="preserve"> achieve its objectives, encompassing both an upper limit (i.e., too much risk being taken to achieve objectives) and a lower limit (not enough risk being taken). In a more formal sense, the setting of risk appetite occurs when the business establishes a specific measurable threshold for the risk it is willing to take.</w:t>
      </w:r>
    </w:p>
    <w:p w14:paraId="316DF09D" w14:textId="072DEE59" w:rsidR="00F0387C" w:rsidRPr="008408F5" w:rsidRDefault="00F0387C" w:rsidP="00966E02">
      <w:pPr>
        <w:spacing w:line="276" w:lineRule="auto"/>
        <w:jc w:val="both"/>
        <w:rPr>
          <w:rFonts w:ascii="Georgia" w:hAnsi="Georgia" w:cs="Times New Roman"/>
          <w:color w:val="000000" w:themeColor="text1"/>
        </w:rPr>
      </w:pPr>
      <w:r w:rsidRPr="008408F5">
        <w:rPr>
          <w:rFonts w:ascii="Georgia" w:hAnsi="Georgia" w:cs="Times New Roman"/>
          <w:color w:val="000000" w:themeColor="text1"/>
        </w:rPr>
        <w:t xml:space="preserve">There are several different factors which will help determine the risk appetite of an </w:t>
      </w:r>
      <w:r w:rsidR="00E37ADA" w:rsidRPr="008408F5">
        <w:rPr>
          <w:rFonts w:ascii="Georgia" w:hAnsi="Georgia" w:cs="Times New Roman"/>
          <w:color w:val="000000" w:themeColor="text1"/>
        </w:rPr>
        <w:t>organization</w:t>
      </w:r>
      <w:r w:rsidRPr="008408F5">
        <w:rPr>
          <w:rFonts w:ascii="Georgia" w:hAnsi="Georgia" w:cs="Times New Roman"/>
          <w:color w:val="000000" w:themeColor="text1"/>
        </w:rPr>
        <w:t xml:space="preserve">. For example, a business that is more heavily regulated, such as </w:t>
      </w:r>
      <w:r w:rsidR="00E37ADA" w:rsidRPr="008408F5">
        <w:rPr>
          <w:rFonts w:ascii="Georgia" w:hAnsi="Georgia" w:cs="Times New Roman"/>
          <w:color w:val="000000" w:themeColor="text1"/>
        </w:rPr>
        <w:t>financial institutions</w:t>
      </w:r>
      <w:r w:rsidRPr="008408F5">
        <w:rPr>
          <w:rFonts w:ascii="Georgia" w:hAnsi="Georgia" w:cs="Times New Roman"/>
          <w:color w:val="000000" w:themeColor="text1"/>
        </w:rPr>
        <w:t>, will generally have a lower appetite for risk.</w:t>
      </w:r>
    </w:p>
    <w:p w14:paraId="61B48D20" w14:textId="6D8C4794" w:rsidR="00F0387C" w:rsidRPr="008408F5" w:rsidRDefault="00F0387C" w:rsidP="00966E02">
      <w:pPr>
        <w:spacing w:line="276" w:lineRule="auto"/>
        <w:jc w:val="both"/>
        <w:rPr>
          <w:rFonts w:ascii="Georgia" w:hAnsi="Georgia" w:cs="Times New Roman"/>
          <w:color w:val="000000" w:themeColor="text1"/>
        </w:rPr>
      </w:pPr>
      <w:r w:rsidRPr="008408F5">
        <w:rPr>
          <w:rFonts w:ascii="Georgia" w:hAnsi="Georgia" w:cs="Times New Roman"/>
          <w:color w:val="000000" w:themeColor="text1"/>
        </w:rPr>
        <w:t xml:space="preserve">Appetite will also be influenced by the importance of objectives, as well as the </w:t>
      </w:r>
      <w:r w:rsidR="00E37ADA" w:rsidRPr="008408F5">
        <w:rPr>
          <w:rFonts w:ascii="Georgia" w:hAnsi="Georgia" w:cs="Times New Roman"/>
          <w:color w:val="000000" w:themeColor="text1"/>
        </w:rPr>
        <w:t>organization’s</w:t>
      </w:r>
      <w:r w:rsidRPr="008408F5">
        <w:rPr>
          <w:rFonts w:ascii="Georgia" w:hAnsi="Georgia" w:cs="Times New Roman"/>
          <w:color w:val="000000" w:themeColor="text1"/>
        </w:rPr>
        <w:t xml:space="preserve"> risk maturity and its overall level of risk management capability. If achieving a certain objective or attaining a certain level of performance is a priority for an </w:t>
      </w:r>
      <w:r w:rsidR="00E37ADA" w:rsidRPr="008408F5">
        <w:rPr>
          <w:rFonts w:ascii="Georgia" w:hAnsi="Georgia" w:cs="Times New Roman"/>
          <w:color w:val="000000" w:themeColor="text1"/>
        </w:rPr>
        <w:t>organization</w:t>
      </w:r>
      <w:r w:rsidRPr="008408F5">
        <w:rPr>
          <w:rFonts w:ascii="Georgia" w:hAnsi="Georgia" w:cs="Times New Roman"/>
          <w:color w:val="000000" w:themeColor="text1"/>
        </w:rPr>
        <w:t>, it may be willing to take more risk in that area to ensure the goal is met.</w:t>
      </w:r>
    </w:p>
    <w:p w14:paraId="6696F983" w14:textId="389E3D3A" w:rsidR="00F0387C" w:rsidRPr="008408F5" w:rsidRDefault="00F0387C" w:rsidP="00966E02">
      <w:pPr>
        <w:spacing w:line="276" w:lineRule="auto"/>
        <w:jc w:val="both"/>
        <w:rPr>
          <w:rFonts w:ascii="Georgia" w:hAnsi="Georgia" w:cs="Times New Roman"/>
          <w:color w:val="000000" w:themeColor="text1"/>
        </w:rPr>
      </w:pPr>
      <w:r w:rsidRPr="008408F5">
        <w:rPr>
          <w:rFonts w:ascii="Georgia" w:hAnsi="Georgia" w:cs="Times New Roman"/>
          <w:color w:val="000000" w:themeColor="text1"/>
        </w:rPr>
        <w:t xml:space="preserve">Risk appetite ultimately reflects the two-sided nature of risk – while a risk can pose a threat to an </w:t>
      </w:r>
      <w:r w:rsidR="00E37ADA" w:rsidRPr="008408F5">
        <w:rPr>
          <w:rFonts w:ascii="Georgia" w:hAnsi="Georgia" w:cs="Times New Roman"/>
          <w:color w:val="000000" w:themeColor="text1"/>
        </w:rPr>
        <w:t>organization</w:t>
      </w:r>
      <w:r w:rsidRPr="008408F5">
        <w:rPr>
          <w:rFonts w:ascii="Georgia" w:hAnsi="Georgia" w:cs="Times New Roman"/>
          <w:color w:val="000000" w:themeColor="text1"/>
        </w:rPr>
        <w:t>, it may also present an opportunity.</w:t>
      </w:r>
    </w:p>
    <w:p w14:paraId="390CF4A4" w14:textId="1E54E9F2" w:rsidR="00F0387C" w:rsidRPr="008408F5" w:rsidRDefault="00F0387C" w:rsidP="00966E02">
      <w:pPr>
        <w:spacing w:line="276" w:lineRule="auto"/>
        <w:jc w:val="both"/>
        <w:rPr>
          <w:rFonts w:ascii="Georgia" w:hAnsi="Georgia" w:cs="Times New Roman"/>
          <w:color w:val="000000" w:themeColor="text1"/>
        </w:rPr>
      </w:pPr>
      <w:r w:rsidRPr="008408F5">
        <w:rPr>
          <w:rFonts w:ascii="Georgia" w:hAnsi="Georgia" w:cs="Times New Roman"/>
          <w:color w:val="000000" w:themeColor="text1"/>
        </w:rPr>
        <w:t xml:space="preserve">For example, investing in a new product takes time, </w:t>
      </w:r>
      <w:r w:rsidR="00E37ADA" w:rsidRPr="008408F5">
        <w:rPr>
          <w:rFonts w:ascii="Georgia" w:hAnsi="Georgia" w:cs="Times New Roman"/>
          <w:color w:val="000000" w:themeColor="text1"/>
        </w:rPr>
        <w:t>resources</w:t>
      </w:r>
      <w:r w:rsidRPr="008408F5">
        <w:rPr>
          <w:rFonts w:ascii="Georgia" w:hAnsi="Georgia" w:cs="Times New Roman"/>
          <w:color w:val="000000" w:themeColor="text1"/>
        </w:rPr>
        <w:t xml:space="preserve"> and money, presenting a financial risk. However, that product could open doors to new markets and customers for the business, which may be a risk worth taking. Keeping this balance in </w:t>
      </w:r>
      <w:r w:rsidR="00E37ADA" w:rsidRPr="008408F5">
        <w:rPr>
          <w:rFonts w:ascii="Georgia" w:hAnsi="Georgia" w:cs="Times New Roman"/>
          <w:color w:val="000000" w:themeColor="text1"/>
        </w:rPr>
        <w:t>mind and</w:t>
      </w:r>
      <w:r w:rsidRPr="008408F5">
        <w:rPr>
          <w:rFonts w:ascii="Georgia" w:hAnsi="Georgia" w:cs="Times New Roman"/>
          <w:color w:val="000000" w:themeColor="text1"/>
        </w:rPr>
        <w:t xml:space="preserve"> using it to set the right upper and lower limits for risk-taking, is crucial to implementing risk appetite successfully.</w:t>
      </w:r>
    </w:p>
    <w:p w14:paraId="38A3FED7" w14:textId="5C051C48" w:rsidR="00F0387C" w:rsidRPr="008408F5" w:rsidRDefault="00F0387C" w:rsidP="00972617">
      <w:pPr>
        <w:spacing w:after="0" w:line="276" w:lineRule="auto"/>
        <w:jc w:val="both"/>
        <w:rPr>
          <w:rFonts w:ascii="Georgia" w:hAnsi="Georgia" w:cs="Times New Roman"/>
          <w:b/>
          <w:bCs/>
          <w:color w:val="000000" w:themeColor="text1"/>
        </w:rPr>
      </w:pPr>
      <w:r w:rsidRPr="008408F5">
        <w:rPr>
          <w:rFonts w:ascii="Georgia" w:hAnsi="Georgia" w:cs="Times New Roman"/>
          <w:b/>
          <w:bCs/>
          <w:color w:val="000000" w:themeColor="text1"/>
        </w:rPr>
        <w:t>Why is risk appetite important to a business</w:t>
      </w:r>
    </w:p>
    <w:p w14:paraId="06744B96" w14:textId="77777777" w:rsidR="00F0387C" w:rsidRPr="008408F5" w:rsidRDefault="00F0387C" w:rsidP="00972617">
      <w:pPr>
        <w:spacing w:after="0" w:line="276" w:lineRule="auto"/>
        <w:jc w:val="both"/>
        <w:rPr>
          <w:rFonts w:ascii="Georgia" w:hAnsi="Georgia" w:cs="Times New Roman"/>
          <w:color w:val="000000" w:themeColor="text1"/>
        </w:rPr>
      </w:pPr>
      <w:r w:rsidRPr="008408F5">
        <w:rPr>
          <w:rFonts w:ascii="Georgia" w:hAnsi="Georgia" w:cs="Times New Roman"/>
          <w:color w:val="000000" w:themeColor="text1"/>
        </w:rPr>
        <w:t>There are many reasons why a business may value risk appetite:</w:t>
      </w:r>
    </w:p>
    <w:p w14:paraId="0FA13352" w14:textId="76D04721" w:rsidR="00972617" w:rsidRPr="008408F5" w:rsidRDefault="00972617" w:rsidP="00972617">
      <w:pPr>
        <w:numPr>
          <w:ilvl w:val="0"/>
          <w:numId w:val="6"/>
        </w:numPr>
        <w:tabs>
          <w:tab w:val="clear" w:pos="720"/>
          <w:tab w:val="num" w:pos="360"/>
        </w:tabs>
        <w:spacing w:after="0" w:line="276" w:lineRule="auto"/>
        <w:ind w:left="360"/>
        <w:jc w:val="both"/>
        <w:rPr>
          <w:rFonts w:ascii="Georgia" w:hAnsi="Georgia" w:cs="Times New Roman"/>
          <w:b/>
          <w:bCs/>
          <w:color w:val="000000" w:themeColor="text1"/>
        </w:rPr>
      </w:pPr>
      <w:r w:rsidRPr="008408F5">
        <w:rPr>
          <w:rFonts w:ascii="Georgia" w:hAnsi="Georgia" w:cs="Times New Roman"/>
          <w:b/>
          <w:bCs/>
          <w:color w:val="000000" w:themeColor="text1"/>
        </w:rPr>
        <w:t>Alignment</w:t>
      </w:r>
    </w:p>
    <w:p w14:paraId="368465ED" w14:textId="632EA5F2" w:rsidR="00F0387C" w:rsidRPr="008408F5" w:rsidRDefault="00F0387C" w:rsidP="00972617">
      <w:pPr>
        <w:spacing w:after="0" w:line="276" w:lineRule="auto"/>
        <w:ind w:left="360"/>
        <w:jc w:val="both"/>
        <w:rPr>
          <w:rFonts w:ascii="Georgia" w:hAnsi="Georgia" w:cs="Times New Roman"/>
          <w:color w:val="000000" w:themeColor="text1"/>
        </w:rPr>
      </w:pPr>
      <w:r w:rsidRPr="008408F5">
        <w:rPr>
          <w:rFonts w:ascii="Georgia" w:hAnsi="Georgia" w:cs="Times New Roman"/>
          <w:color w:val="000000" w:themeColor="text1"/>
        </w:rPr>
        <w:t>Risk appetite serves as a bridge between risk management and the desired outcomes of the business, connecting the two by highlighting how different levels of risk-taking can either support or hinder long-term objectives.</w:t>
      </w:r>
    </w:p>
    <w:p w14:paraId="1A9D0246" w14:textId="58C7CAED" w:rsidR="00972617" w:rsidRPr="008408F5" w:rsidRDefault="00972617" w:rsidP="00972617">
      <w:pPr>
        <w:numPr>
          <w:ilvl w:val="0"/>
          <w:numId w:val="6"/>
        </w:numPr>
        <w:tabs>
          <w:tab w:val="clear" w:pos="720"/>
          <w:tab w:val="num" w:pos="360"/>
        </w:tabs>
        <w:spacing w:after="0" w:line="276" w:lineRule="auto"/>
        <w:ind w:left="360"/>
        <w:jc w:val="both"/>
        <w:rPr>
          <w:rFonts w:ascii="Georgia" w:hAnsi="Georgia" w:cs="Times New Roman"/>
          <w:b/>
          <w:bCs/>
          <w:color w:val="000000" w:themeColor="text1"/>
        </w:rPr>
      </w:pPr>
      <w:r w:rsidRPr="008408F5">
        <w:rPr>
          <w:rFonts w:ascii="Georgia" w:hAnsi="Georgia" w:cs="Times New Roman"/>
          <w:b/>
          <w:bCs/>
          <w:color w:val="000000" w:themeColor="text1"/>
        </w:rPr>
        <w:t xml:space="preserve">Prioritization </w:t>
      </w:r>
    </w:p>
    <w:p w14:paraId="104703ED" w14:textId="4CB6C47E" w:rsidR="00F0387C" w:rsidRPr="008408F5" w:rsidRDefault="00F0387C" w:rsidP="00972617">
      <w:pPr>
        <w:spacing w:after="0" w:line="276" w:lineRule="auto"/>
        <w:ind w:left="360"/>
        <w:jc w:val="both"/>
        <w:rPr>
          <w:rFonts w:ascii="Georgia" w:hAnsi="Georgia" w:cs="Times New Roman"/>
          <w:color w:val="000000" w:themeColor="text1"/>
        </w:rPr>
      </w:pPr>
      <w:r w:rsidRPr="008408F5">
        <w:rPr>
          <w:rFonts w:ascii="Georgia" w:hAnsi="Georgia" w:cs="Times New Roman"/>
          <w:color w:val="000000" w:themeColor="text1"/>
        </w:rPr>
        <w:t>Risk appetite is a mechanism that allows for a more meaningful assessment of the risks that are relevant to the business. Without the framing provided by risk appetite, it is harder for the risk team to drive the right level of action needed within the business through reporting, while people around the business are left without the necessary information to make optimal decisions aligned with desired outcomes.</w:t>
      </w:r>
    </w:p>
    <w:p w14:paraId="62BACB42" w14:textId="17C4501D" w:rsidR="00972617" w:rsidRPr="008408F5" w:rsidRDefault="00972617" w:rsidP="00972617">
      <w:pPr>
        <w:numPr>
          <w:ilvl w:val="0"/>
          <w:numId w:val="6"/>
        </w:numPr>
        <w:shd w:val="clear" w:color="auto" w:fill="FFFFFF"/>
        <w:tabs>
          <w:tab w:val="clear" w:pos="720"/>
          <w:tab w:val="num" w:pos="360"/>
        </w:tabs>
        <w:spacing w:after="0" w:line="360" w:lineRule="auto"/>
        <w:ind w:left="360"/>
        <w:jc w:val="both"/>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Empowerment</w:t>
      </w:r>
    </w:p>
    <w:p w14:paraId="63A59B37" w14:textId="6BB03A55" w:rsidR="00F0387C" w:rsidRPr="008408F5" w:rsidRDefault="00F0387C" w:rsidP="00972617">
      <w:pPr>
        <w:shd w:val="clear" w:color="auto" w:fill="FFFFFF"/>
        <w:spacing w:after="0" w:line="360" w:lineRule="auto"/>
        <w:ind w:left="360"/>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 xml:space="preserve">By helping to drive action and ensure desired outcomes are met and by encouraging employees to take informed and appropriate risks and not just simply avoid risk </w:t>
      </w:r>
      <w:r w:rsidRPr="008408F5">
        <w:rPr>
          <w:rFonts w:ascii="Georgia" w:eastAsia="Times New Roman" w:hAnsi="Georgia" w:cs="Times New Roman"/>
          <w:color w:val="000000" w:themeColor="text1"/>
          <w:kern w:val="0"/>
          <w14:ligatures w14:val="none"/>
        </w:rPr>
        <w:lastRenderedPageBreak/>
        <w:t xml:space="preserve">altogether the stigma that risk managers are merely “policy police” can also be overcome, cultivating more cordial and valuable working relationships between the risk function and the rest of the </w:t>
      </w:r>
      <w:r w:rsidR="00E37ADA" w:rsidRPr="008408F5">
        <w:rPr>
          <w:rFonts w:ascii="Georgia" w:eastAsia="Times New Roman" w:hAnsi="Georgia" w:cs="Times New Roman"/>
          <w:color w:val="000000" w:themeColor="text1"/>
          <w:kern w:val="0"/>
          <w14:ligatures w14:val="none"/>
        </w:rPr>
        <w:t>organization</w:t>
      </w:r>
      <w:r w:rsidRPr="008408F5">
        <w:rPr>
          <w:rFonts w:ascii="Georgia" w:eastAsia="Times New Roman" w:hAnsi="Georgia" w:cs="Times New Roman"/>
          <w:color w:val="000000" w:themeColor="text1"/>
          <w:kern w:val="0"/>
          <w14:ligatures w14:val="none"/>
        </w:rPr>
        <w:t>.</w:t>
      </w:r>
    </w:p>
    <w:p w14:paraId="0B5DD87B" w14:textId="77777777" w:rsidR="00972617" w:rsidRPr="008408F5" w:rsidRDefault="00972617" w:rsidP="00972617">
      <w:pPr>
        <w:pStyle w:val="ListParagraph"/>
        <w:numPr>
          <w:ilvl w:val="0"/>
          <w:numId w:val="6"/>
        </w:numPr>
        <w:tabs>
          <w:tab w:val="clear" w:pos="720"/>
          <w:tab w:val="num" w:pos="360"/>
        </w:tabs>
        <w:spacing w:after="0" w:line="360" w:lineRule="auto"/>
        <w:ind w:left="36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 xml:space="preserve">Guides Decision-Making. </w:t>
      </w:r>
    </w:p>
    <w:p w14:paraId="351E2DF4" w14:textId="77777777" w:rsidR="00972617" w:rsidRPr="008408F5" w:rsidRDefault="00972617" w:rsidP="00972617">
      <w:pPr>
        <w:pStyle w:val="ListParagraph"/>
        <w:spacing w:after="0" w:line="360" w:lineRule="auto"/>
        <w:ind w:left="36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color w:val="000000" w:themeColor="text1"/>
          <w:kern w:val="0"/>
          <w14:ligatures w14:val="none"/>
        </w:rPr>
        <w:t xml:space="preserve">Knowing the level of risk the business is willing to accept helps management make informed decisions about investments, projects, or operational activities. For example, a business with a </w:t>
      </w:r>
      <w:proofErr w:type="gramStart"/>
      <w:r w:rsidRPr="008408F5">
        <w:rPr>
          <w:rFonts w:ascii="Georgia" w:eastAsia="Times New Roman" w:hAnsi="Georgia" w:cs="Times New Roman"/>
          <w:color w:val="000000" w:themeColor="text1"/>
          <w:kern w:val="0"/>
          <w14:ligatures w14:val="none"/>
        </w:rPr>
        <w:t>low risk</w:t>
      </w:r>
      <w:proofErr w:type="gramEnd"/>
      <w:r w:rsidRPr="008408F5">
        <w:rPr>
          <w:rFonts w:ascii="Georgia" w:eastAsia="Times New Roman" w:hAnsi="Georgia" w:cs="Times New Roman"/>
          <w:color w:val="000000" w:themeColor="text1"/>
          <w:kern w:val="0"/>
          <w14:ligatures w14:val="none"/>
        </w:rPr>
        <w:t xml:space="preserve"> appetite might avoid highly speculative ventures, while one with a </w:t>
      </w:r>
      <w:proofErr w:type="gramStart"/>
      <w:r w:rsidRPr="008408F5">
        <w:rPr>
          <w:rFonts w:ascii="Georgia" w:eastAsia="Times New Roman" w:hAnsi="Georgia" w:cs="Times New Roman"/>
          <w:color w:val="000000" w:themeColor="text1"/>
          <w:kern w:val="0"/>
          <w14:ligatures w14:val="none"/>
        </w:rPr>
        <w:t>high risk</w:t>
      </w:r>
      <w:proofErr w:type="gramEnd"/>
      <w:r w:rsidRPr="008408F5">
        <w:rPr>
          <w:rFonts w:ascii="Georgia" w:eastAsia="Times New Roman" w:hAnsi="Georgia" w:cs="Times New Roman"/>
          <w:color w:val="000000" w:themeColor="text1"/>
          <w:kern w:val="0"/>
          <w14:ligatures w14:val="none"/>
        </w:rPr>
        <w:t xml:space="preserve"> appetite may pursue aggressive growth strategies.  </w:t>
      </w:r>
    </w:p>
    <w:p w14:paraId="138D7589" w14:textId="77777777" w:rsidR="00972617" w:rsidRPr="008408F5" w:rsidRDefault="00972617" w:rsidP="00972617">
      <w:pPr>
        <w:pStyle w:val="ListParagraph"/>
        <w:numPr>
          <w:ilvl w:val="0"/>
          <w:numId w:val="6"/>
        </w:numPr>
        <w:tabs>
          <w:tab w:val="clear" w:pos="720"/>
          <w:tab w:val="num" w:pos="360"/>
        </w:tabs>
        <w:spacing w:after="0" w:line="360" w:lineRule="auto"/>
        <w:ind w:left="36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Aligns Strategy with Capacity</w:t>
      </w:r>
    </w:p>
    <w:p w14:paraId="2AAC8720" w14:textId="77777777" w:rsidR="00972617" w:rsidRPr="008408F5" w:rsidRDefault="00972617" w:rsidP="00972617">
      <w:pPr>
        <w:pStyle w:val="ListParagraph"/>
        <w:spacing w:after="0" w:line="360" w:lineRule="auto"/>
        <w:ind w:left="36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color w:val="000000" w:themeColor="text1"/>
          <w:kern w:val="0"/>
          <w14:ligatures w14:val="none"/>
        </w:rPr>
        <w:t xml:space="preserve">Risk appetite ensures that the business strategy matches the organization’s resources, capabilities, and stakeholder expectations. It prevents overextending the company into areas it cannot manage effectively. </w:t>
      </w:r>
    </w:p>
    <w:p w14:paraId="718EC939" w14:textId="77777777" w:rsidR="00972617" w:rsidRPr="008408F5" w:rsidRDefault="00972617" w:rsidP="00972617">
      <w:pPr>
        <w:pStyle w:val="ListParagraph"/>
        <w:numPr>
          <w:ilvl w:val="0"/>
          <w:numId w:val="6"/>
        </w:numPr>
        <w:tabs>
          <w:tab w:val="clear" w:pos="720"/>
          <w:tab w:val="num" w:pos="360"/>
        </w:tabs>
        <w:spacing w:after="0" w:line="360" w:lineRule="auto"/>
        <w:ind w:left="36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Protects Stakeholders.</w:t>
      </w:r>
    </w:p>
    <w:p w14:paraId="17E8FB4F" w14:textId="77777777" w:rsidR="00972617" w:rsidRPr="008408F5" w:rsidRDefault="00972617" w:rsidP="00972617">
      <w:pPr>
        <w:pStyle w:val="ListParagraph"/>
        <w:spacing w:after="0" w:line="360" w:lineRule="auto"/>
        <w:ind w:left="36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color w:val="000000" w:themeColor="text1"/>
          <w:kern w:val="0"/>
          <w14:ligatures w14:val="none"/>
        </w:rPr>
        <w:t xml:space="preserve">Clearly defining risk appetite helps protect shareholders, employees, customers, and regulators by avoiding decisions that could jeopardize the business’s stability. It creates confidence that the company operates within reasonable limits. </w:t>
      </w:r>
    </w:p>
    <w:p w14:paraId="142906F3" w14:textId="77777777" w:rsidR="00972617" w:rsidRPr="008408F5" w:rsidRDefault="00972617" w:rsidP="00972617">
      <w:pPr>
        <w:pStyle w:val="ListParagraph"/>
        <w:numPr>
          <w:ilvl w:val="0"/>
          <w:numId w:val="6"/>
        </w:numPr>
        <w:tabs>
          <w:tab w:val="clear" w:pos="720"/>
          <w:tab w:val="num" w:pos="360"/>
        </w:tabs>
        <w:spacing w:after="0" w:line="360" w:lineRule="auto"/>
        <w:ind w:left="36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 xml:space="preserve">Supports Risk Management </w:t>
      </w:r>
    </w:p>
    <w:p w14:paraId="724ADF14" w14:textId="77777777" w:rsidR="00972617" w:rsidRPr="008408F5" w:rsidRDefault="00972617" w:rsidP="00972617">
      <w:pPr>
        <w:pStyle w:val="ListParagraph"/>
        <w:spacing w:after="0" w:line="360" w:lineRule="auto"/>
        <w:ind w:left="36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color w:val="000000" w:themeColor="text1"/>
          <w:kern w:val="0"/>
          <w14:ligatures w14:val="none"/>
        </w:rPr>
        <w:t xml:space="preserve">Risk appetite serves as a benchmark against which risks are assessed and monitored. It informs the development of risk management policies, internal controls, and contingency plans. </w:t>
      </w:r>
    </w:p>
    <w:p w14:paraId="2716BE8D" w14:textId="77777777" w:rsidR="00972617" w:rsidRPr="008408F5" w:rsidRDefault="00972617" w:rsidP="00972617">
      <w:pPr>
        <w:pStyle w:val="ListParagraph"/>
        <w:numPr>
          <w:ilvl w:val="0"/>
          <w:numId w:val="6"/>
        </w:numPr>
        <w:tabs>
          <w:tab w:val="clear" w:pos="720"/>
          <w:tab w:val="num" w:pos="360"/>
        </w:tabs>
        <w:spacing w:after="0" w:line="360" w:lineRule="auto"/>
        <w:ind w:left="36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Improves Accountability</w:t>
      </w:r>
    </w:p>
    <w:p w14:paraId="6F938815" w14:textId="77777777" w:rsidR="00972617" w:rsidRPr="008408F5" w:rsidRDefault="00972617" w:rsidP="00972617">
      <w:pPr>
        <w:pStyle w:val="ListParagraph"/>
        <w:spacing w:after="0" w:line="360" w:lineRule="auto"/>
        <w:ind w:left="36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color w:val="000000" w:themeColor="text1"/>
          <w:kern w:val="0"/>
          <w14:ligatures w14:val="none"/>
        </w:rPr>
        <w:t xml:space="preserve">When risk appetite is documented, leaders and managers know the boundaries within which they must operate. This clarity reduces conflicts and ensures consistent decision-making across the organization. </w:t>
      </w:r>
    </w:p>
    <w:p w14:paraId="61C52C5E" w14:textId="77777777" w:rsidR="00972617" w:rsidRPr="008408F5" w:rsidRDefault="00972617" w:rsidP="00972617">
      <w:pPr>
        <w:pStyle w:val="ListParagraph"/>
        <w:numPr>
          <w:ilvl w:val="0"/>
          <w:numId w:val="6"/>
        </w:numPr>
        <w:tabs>
          <w:tab w:val="clear" w:pos="720"/>
          <w:tab w:val="num" w:pos="360"/>
        </w:tabs>
        <w:spacing w:after="0" w:line="360" w:lineRule="auto"/>
        <w:ind w:left="36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Enhances Performance and Growth</w:t>
      </w:r>
    </w:p>
    <w:p w14:paraId="735740E9" w14:textId="459A44AF" w:rsidR="00972617" w:rsidRPr="008408F5" w:rsidRDefault="00972617" w:rsidP="00972617">
      <w:pPr>
        <w:pStyle w:val="ListParagraph"/>
        <w:spacing w:after="0" w:line="360" w:lineRule="auto"/>
        <w:ind w:left="36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color w:val="000000" w:themeColor="text1"/>
          <w:kern w:val="0"/>
          <w14:ligatures w14:val="none"/>
        </w:rPr>
        <w:t>Businesses that understand their risk appetite can take calculated risks to achieve competitive advantage, innovate, and grow sustainably. It balances risk and reward, avoiding reckless decisions while not stifling opportunity.</w:t>
      </w:r>
    </w:p>
    <w:p w14:paraId="7288E9B1" w14:textId="2CF55D32" w:rsidR="00F0387C" w:rsidRPr="008408F5" w:rsidRDefault="00F0387C" w:rsidP="00966E02">
      <w:pPr>
        <w:shd w:val="clear" w:color="auto" w:fill="FFFFFF"/>
        <w:spacing w:after="0" w:line="276" w:lineRule="auto"/>
        <w:jc w:val="both"/>
        <w:outlineLvl w:val="2"/>
        <w:rPr>
          <w:rFonts w:ascii="Georgia" w:eastAsia="Times New Roman" w:hAnsi="Georgia" w:cs="Times New Roman"/>
          <w:color w:val="000000" w:themeColor="text1"/>
          <w:kern w:val="0"/>
          <w14:ligatures w14:val="none"/>
        </w:rPr>
      </w:pPr>
      <w:r w:rsidRPr="008408F5">
        <w:rPr>
          <w:rFonts w:ascii="Georgia" w:eastAsia="Times New Roman" w:hAnsi="Georgia" w:cs="Times New Roman"/>
          <w:b/>
          <w:bCs/>
          <w:color w:val="000000" w:themeColor="text1"/>
          <w:kern w:val="0"/>
          <w14:ligatures w14:val="none"/>
        </w:rPr>
        <w:t>Who is responsible for risk appetite</w:t>
      </w:r>
    </w:p>
    <w:p w14:paraId="097A0E5C" w14:textId="3A99D0DE" w:rsidR="00F0387C" w:rsidRPr="008408F5" w:rsidRDefault="00E37ADA" w:rsidP="00966E02">
      <w:pPr>
        <w:pStyle w:val="ListParagraph"/>
        <w:numPr>
          <w:ilvl w:val="0"/>
          <w:numId w:val="7"/>
        </w:numPr>
        <w:shd w:val="clear" w:color="auto" w:fill="FFFFFF"/>
        <w:spacing w:after="0"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First there</w:t>
      </w:r>
      <w:r w:rsidR="00F0387C" w:rsidRPr="008408F5">
        <w:rPr>
          <w:rFonts w:ascii="Georgia" w:eastAsia="Times New Roman" w:hAnsi="Georgia" w:cs="Times New Roman"/>
          <w:color w:val="000000" w:themeColor="text1"/>
          <w:kern w:val="0"/>
          <w14:ligatures w14:val="none"/>
        </w:rPr>
        <w:t xml:space="preserve"> needs to be an understanding of who is responsible for what, so that clear roles and accountabilities can be assigned in the development and setting of risk appetite. If there are already structures in place within the business to assign </w:t>
      </w:r>
      <w:r w:rsidR="00F0387C" w:rsidRPr="008408F5">
        <w:rPr>
          <w:rFonts w:ascii="Georgia" w:eastAsia="Times New Roman" w:hAnsi="Georgia" w:cs="Times New Roman"/>
          <w:color w:val="000000" w:themeColor="text1"/>
          <w:kern w:val="0"/>
          <w14:ligatures w14:val="none"/>
        </w:rPr>
        <w:lastRenderedPageBreak/>
        <w:t>accountabilities for risks themselves, it may be helpful to use these rather than creating another layer of bureaucracy.</w:t>
      </w:r>
    </w:p>
    <w:p w14:paraId="2A8597FF" w14:textId="0C6EE7A2" w:rsidR="00F0387C" w:rsidRPr="008408F5" w:rsidRDefault="00F0387C" w:rsidP="00966E02">
      <w:pPr>
        <w:pStyle w:val="ListParagraph"/>
        <w:numPr>
          <w:ilvl w:val="0"/>
          <w:numId w:val="7"/>
        </w:numPr>
        <w:shd w:val="clear" w:color="auto" w:fill="FFFFFF"/>
        <w:spacing w:after="360"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 xml:space="preserve">While some </w:t>
      </w:r>
      <w:r w:rsidR="00E37ADA" w:rsidRPr="008408F5">
        <w:rPr>
          <w:rFonts w:ascii="Georgia" w:eastAsia="Times New Roman" w:hAnsi="Georgia" w:cs="Times New Roman"/>
          <w:color w:val="000000" w:themeColor="text1"/>
          <w:kern w:val="0"/>
          <w14:ligatures w14:val="none"/>
        </w:rPr>
        <w:t>organizations</w:t>
      </w:r>
      <w:r w:rsidRPr="008408F5">
        <w:rPr>
          <w:rFonts w:ascii="Georgia" w:eastAsia="Times New Roman" w:hAnsi="Georgia" w:cs="Times New Roman"/>
          <w:color w:val="000000" w:themeColor="text1"/>
          <w:kern w:val="0"/>
          <w14:ligatures w14:val="none"/>
        </w:rPr>
        <w:t xml:space="preserve"> may assign the setting and implementation of risk appetite to the risk team alone, if it is done within a </w:t>
      </w:r>
      <w:proofErr w:type="gramStart"/>
      <w:r w:rsidRPr="008408F5">
        <w:rPr>
          <w:rFonts w:ascii="Georgia" w:eastAsia="Times New Roman" w:hAnsi="Georgia" w:cs="Times New Roman"/>
          <w:color w:val="000000" w:themeColor="text1"/>
          <w:kern w:val="0"/>
          <w14:ligatures w14:val="none"/>
        </w:rPr>
        <w:t>silo</w:t>
      </w:r>
      <w:proofErr w:type="gramEnd"/>
      <w:r w:rsidRPr="008408F5">
        <w:rPr>
          <w:rFonts w:ascii="Georgia" w:eastAsia="Times New Roman" w:hAnsi="Georgia" w:cs="Times New Roman"/>
          <w:color w:val="000000" w:themeColor="text1"/>
          <w:kern w:val="0"/>
          <w14:ligatures w14:val="none"/>
        </w:rPr>
        <w:t xml:space="preserve"> it is unlikely to fulfil the needs of the business, nor will it support appropriate risk-taking or effective risk oversight.</w:t>
      </w:r>
    </w:p>
    <w:p w14:paraId="513747B3" w14:textId="15B8E3AF" w:rsidR="00F0387C" w:rsidRPr="008408F5" w:rsidRDefault="00F0387C" w:rsidP="00966E02">
      <w:pPr>
        <w:pStyle w:val="ListParagraph"/>
        <w:numPr>
          <w:ilvl w:val="0"/>
          <w:numId w:val="7"/>
        </w:numPr>
        <w:spacing w:line="276" w:lineRule="auto"/>
        <w:jc w:val="both"/>
        <w:rPr>
          <w:rFonts w:ascii="Georgia" w:hAnsi="Georgia" w:cs="Times New Roman"/>
          <w:color w:val="000000" w:themeColor="text1"/>
        </w:rPr>
      </w:pPr>
      <w:r w:rsidRPr="008408F5">
        <w:rPr>
          <w:rFonts w:ascii="Georgia" w:eastAsia="Times New Roman" w:hAnsi="Georgia" w:cs="Times New Roman"/>
          <w:color w:val="000000" w:themeColor="text1"/>
          <w:kern w:val="0"/>
          <w14:ligatures w14:val="none"/>
        </w:rPr>
        <w:t xml:space="preserve">The risk team should engage and partner with the business to develop appropriate risk appetite which reflects the strategic and operational nature of the business. </w:t>
      </w:r>
    </w:p>
    <w:p w14:paraId="50C68102" w14:textId="77777777" w:rsidR="00F0387C" w:rsidRPr="008408F5" w:rsidRDefault="00F0387C" w:rsidP="00966E02">
      <w:pPr>
        <w:pStyle w:val="ListParagraph"/>
        <w:numPr>
          <w:ilvl w:val="0"/>
          <w:numId w:val="7"/>
        </w:numPr>
        <w:spacing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Securing the buy-in and, more importantly, the involvement of executives is crucial, as this will encourage them to view risk appetite as a powerful business tool and an enabler, rather than an unnecessary administrative layer they would rather avoid.</w:t>
      </w:r>
    </w:p>
    <w:p w14:paraId="28EE863C" w14:textId="77777777" w:rsidR="00E37ADA" w:rsidRPr="008408F5" w:rsidRDefault="00E37ADA" w:rsidP="00966E02">
      <w:pPr>
        <w:pStyle w:val="ListParagraph"/>
        <w:spacing w:line="276" w:lineRule="auto"/>
        <w:jc w:val="both"/>
        <w:rPr>
          <w:rFonts w:ascii="Georgia" w:eastAsia="Times New Roman" w:hAnsi="Georgia" w:cs="Times New Roman"/>
          <w:color w:val="000000" w:themeColor="text1"/>
          <w:kern w:val="0"/>
          <w14:ligatures w14:val="none"/>
        </w:rPr>
      </w:pPr>
    </w:p>
    <w:p w14:paraId="16633282" w14:textId="7E0C6D25" w:rsidR="00F0387C" w:rsidRPr="008408F5" w:rsidRDefault="00E37ADA" w:rsidP="00966E02">
      <w:pPr>
        <w:shd w:val="clear" w:color="auto" w:fill="FFFFFF"/>
        <w:spacing w:after="360" w:line="276" w:lineRule="auto"/>
        <w:jc w:val="both"/>
        <w:outlineLvl w:val="1"/>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S</w:t>
      </w:r>
      <w:r w:rsidR="00F0387C" w:rsidRPr="008408F5">
        <w:rPr>
          <w:rFonts w:ascii="Georgia" w:eastAsia="Times New Roman" w:hAnsi="Georgia" w:cs="Times New Roman"/>
          <w:b/>
          <w:bCs/>
          <w:color w:val="000000" w:themeColor="text1"/>
          <w:kern w:val="0"/>
          <w14:ligatures w14:val="none"/>
        </w:rPr>
        <w:t>et</w:t>
      </w:r>
      <w:r w:rsidRPr="008408F5">
        <w:rPr>
          <w:rFonts w:ascii="Georgia" w:eastAsia="Times New Roman" w:hAnsi="Georgia" w:cs="Times New Roman"/>
          <w:b/>
          <w:bCs/>
          <w:color w:val="000000" w:themeColor="text1"/>
          <w:kern w:val="0"/>
          <w14:ligatures w14:val="none"/>
        </w:rPr>
        <w:t>ting the</w:t>
      </w:r>
      <w:r w:rsidR="00F0387C" w:rsidRPr="008408F5">
        <w:rPr>
          <w:rFonts w:ascii="Georgia" w:eastAsia="Times New Roman" w:hAnsi="Georgia" w:cs="Times New Roman"/>
          <w:b/>
          <w:bCs/>
          <w:color w:val="000000" w:themeColor="text1"/>
          <w:kern w:val="0"/>
          <w14:ligatures w14:val="none"/>
        </w:rPr>
        <w:t xml:space="preserve"> </w:t>
      </w:r>
      <w:r w:rsidR="00577401" w:rsidRPr="008408F5">
        <w:rPr>
          <w:rFonts w:ascii="Georgia" w:eastAsia="Times New Roman" w:hAnsi="Georgia" w:cs="Times New Roman"/>
          <w:b/>
          <w:bCs/>
          <w:color w:val="000000" w:themeColor="text1"/>
          <w:kern w:val="0"/>
          <w14:ligatures w14:val="none"/>
        </w:rPr>
        <w:t>R</w:t>
      </w:r>
      <w:r w:rsidR="00F0387C" w:rsidRPr="008408F5">
        <w:rPr>
          <w:rFonts w:ascii="Georgia" w:eastAsia="Times New Roman" w:hAnsi="Georgia" w:cs="Times New Roman"/>
          <w:b/>
          <w:bCs/>
          <w:color w:val="000000" w:themeColor="text1"/>
          <w:kern w:val="0"/>
          <w14:ligatures w14:val="none"/>
        </w:rPr>
        <w:t>isk appetite</w:t>
      </w:r>
      <w:r w:rsidR="00577401" w:rsidRPr="008408F5">
        <w:rPr>
          <w:rFonts w:ascii="Georgia" w:eastAsia="Times New Roman" w:hAnsi="Georgia" w:cs="Times New Roman"/>
          <w:b/>
          <w:bCs/>
          <w:color w:val="000000" w:themeColor="text1"/>
          <w:kern w:val="0"/>
          <w14:ligatures w14:val="none"/>
        </w:rPr>
        <w:t xml:space="preserve"> </w:t>
      </w:r>
      <w:r w:rsidR="00AA23C7" w:rsidRPr="008408F5">
        <w:rPr>
          <w:rFonts w:ascii="Georgia" w:eastAsia="Times New Roman" w:hAnsi="Georgia" w:cs="Times New Roman"/>
          <w:b/>
          <w:bCs/>
          <w:color w:val="000000" w:themeColor="text1"/>
          <w:kern w:val="0"/>
          <w14:ligatures w14:val="none"/>
        </w:rPr>
        <w:t xml:space="preserve">in </w:t>
      </w:r>
      <w:r w:rsidR="00577401" w:rsidRPr="008408F5">
        <w:rPr>
          <w:rFonts w:ascii="Georgia" w:eastAsia="Times New Roman" w:hAnsi="Georgia" w:cs="Times New Roman"/>
          <w:b/>
          <w:bCs/>
          <w:color w:val="000000" w:themeColor="text1"/>
          <w:kern w:val="0"/>
          <w14:ligatures w14:val="none"/>
        </w:rPr>
        <w:t>an entity</w:t>
      </w:r>
    </w:p>
    <w:p w14:paraId="357FD1B1" w14:textId="77777777" w:rsidR="00F0387C" w:rsidRPr="008408F5" w:rsidRDefault="00F0387C" w:rsidP="00966E02">
      <w:pPr>
        <w:pStyle w:val="ListParagraph"/>
        <w:shd w:val="clear" w:color="auto" w:fill="FFFFFF"/>
        <w:spacing w:after="360" w:line="276" w:lineRule="auto"/>
        <w:ind w:left="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1. Determine principal/material risk categories</w:t>
      </w:r>
    </w:p>
    <w:p w14:paraId="039C3C82" w14:textId="77777777" w:rsidR="00F0387C" w:rsidRPr="008408F5" w:rsidRDefault="00F0387C" w:rsidP="00966E02">
      <w:pPr>
        <w:pStyle w:val="ListParagraph"/>
        <w:shd w:val="clear" w:color="auto" w:fill="FFFFFF"/>
        <w:spacing w:after="360" w:line="276" w:lineRule="auto"/>
        <w:ind w:left="0"/>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Before setting risk appetite, you need to determine what principal (or material) risk categories the business should focus on – these will typically be those overarching risks that have the potential to impact both the strategy and operations of the business.</w:t>
      </w:r>
    </w:p>
    <w:p w14:paraId="1BCA0C76" w14:textId="77777777" w:rsidR="00F0387C" w:rsidRPr="008408F5" w:rsidRDefault="00F0387C" w:rsidP="00966E02">
      <w:pPr>
        <w:pStyle w:val="ListParagraph"/>
        <w:shd w:val="clear" w:color="auto" w:fill="FFFFFF"/>
        <w:spacing w:after="360" w:line="276" w:lineRule="auto"/>
        <w:ind w:left="0"/>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Equally, you may want to look at the challenge from another angle and apply risk appetite to specific opportunities that the business wants to pursue – for example, if a company believes developing new technologies will support its strategic growth, it can decide how much risk in this area (e.g. cost of failed development) it is willing to accept.</w:t>
      </w:r>
    </w:p>
    <w:p w14:paraId="354BD348" w14:textId="2F1CB75C" w:rsidR="00966E02" w:rsidRPr="008408F5" w:rsidRDefault="00F0387C" w:rsidP="00966E02">
      <w:pPr>
        <w:pStyle w:val="ListParagraph"/>
        <w:shd w:val="clear" w:color="auto" w:fill="FFFFFF"/>
        <w:spacing w:after="360" w:line="276" w:lineRule="auto"/>
        <w:ind w:left="0"/>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 xml:space="preserve">It is also important to consider the stakeholder landscape and consult with key external parties such as regulators and major partners when developing risk appetite. </w:t>
      </w:r>
    </w:p>
    <w:p w14:paraId="325902AF" w14:textId="77777777" w:rsidR="00577401" w:rsidRPr="008408F5" w:rsidRDefault="00577401" w:rsidP="00966E02">
      <w:pPr>
        <w:pStyle w:val="ListParagraph"/>
        <w:shd w:val="clear" w:color="auto" w:fill="FFFFFF"/>
        <w:spacing w:after="360" w:line="276" w:lineRule="auto"/>
        <w:ind w:left="0"/>
        <w:jc w:val="both"/>
        <w:rPr>
          <w:rFonts w:ascii="Georgia" w:eastAsia="Times New Roman" w:hAnsi="Georgia" w:cs="Times New Roman"/>
          <w:color w:val="000000" w:themeColor="text1"/>
          <w:kern w:val="0"/>
          <w14:ligatures w14:val="none"/>
        </w:rPr>
      </w:pPr>
    </w:p>
    <w:p w14:paraId="2D4B2EF7" w14:textId="77777777" w:rsidR="00F0387C" w:rsidRPr="008408F5" w:rsidRDefault="00F0387C" w:rsidP="00966E02">
      <w:pPr>
        <w:pStyle w:val="ListParagraph"/>
        <w:shd w:val="clear" w:color="auto" w:fill="FFFFFF"/>
        <w:spacing w:after="360" w:line="276" w:lineRule="auto"/>
        <w:ind w:left="0"/>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2. Decide the upper and lower limits for each risk</w:t>
      </w:r>
    </w:p>
    <w:p w14:paraId="38557A65" w14:textId="77777777" w:rsidR="00F0387C" w:rsidRPr="008408F5" w:rsidRDefault="00F0387C" w:rsidP="00966E02">
      <w:pPr>
        <w:pStyle w:val="ListParagraph"/>
        <w:shd w:val="clear" w:color="auto" w:fill="FFFFFF"/>
        <w:spacing w:after="360" w:line="276" w:lineRule="auto"/>
        <w:ind w:left="0"/>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It is important to remember that the risk appetite across a set of principal risks does not have to be entirely consistent – while there are risk categories such as health and safety for which there is usually no appetite for risk, there may be other areas in which the business wants to take more risk.</w:t>
      </w:r>
    </w:p>
    <w:p w14:paraId="4245452A" w14:textId="77777777" w:rsidR="00F0387C" w:rsidRPr="008408F5" w:rsidRDefault="00F0387C" w:rsidP="00966E02">
      <w:pPr>
        <w:pStyle w:val="ListParagraph"/>
        <w:shd w:val="clear" w:color="auto" w:fill="FFFFFF"/>
        <w:spacing w:after="360" w:line="276" w:lineRule="auto"/>
        <w:ind w:left="0"/>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The question is: how do you know what thresholds to set for each risk? The key is finding a green zone for each risk category. This is the balance between too much risk being taken and not enough risk being taken.</w:t>
      </w:r>
    </w:p>
    <w:p w14:paraId="125840EA" w14:textId="77777777" w:rsidR="00F0387C" w:rsidRPr="008408F5" w:rsidRDefault="00F0387C" w:rsidP="00966E02">
      <w:pPr>
        <w:shd w:val="clear" w:color="auto" w:fill="FFFFFF"/>
        <w:spacing w:after="0" w:line="276" w:lineRule="auto"/>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3. Design approaches for managing risks</w:t>
      </w:r>
    </w:p>
    <w:p w14:paraId="5EBF0455" w14:textId="77777777" w:rsidR="00F0387C" w:rsidRPr="008408F5" w:rsidRDefault="00F0387C" w:rsidP="00966E02">
      <w:pPr>
        <w:shd w:val="clear" w:color="auto" w:fill="FFFFFF"/>
        <w:spacing w:after="0"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When setting risk appetite, it is important to outline the actions that the business will take when it is operating within risk appetite, approaching the edge of risk appetite and operating outside of risk appetite. Typically, breach procedures will fall into these three buckets:</w:t>
      </w:r>
    </w:p>
    <w:p w14:paraId="61161AFA" w14:textId="77777777" w:rsidR="00F0387C" w:rsidRPr="008408F5" w:rsidRDefault="00F0387C" w:rsidP="00966E02">
      <w:pPr>
        <w:numPr>
          <w:ilvl w:val="0"/>
          <w:numId w:val="1"/>
        </w:numPr>
        <w:shd w:val="clear" w:color="auto" w:fill="FFFFFF"/>
        <w:spacing w:before="100" w:beforeAutospacing="1" w:after="100" w:afterAutospacing="1"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b/>
          <w:bCs/>
          <w:color w:val="000000" w:themeColor="text1"/>
          <w:kern w:val="0"/>
          <w14:ligatures w14:val="none"/>
        </w:rPr>
        <w:lastRenderedPageBreak/>
        <w:t>Expected</w:t>
      </w:r>
      <w:r w:rsidRPr="008408F5">
        <w:rPr>
          <w:rFonts w:ascii="Georgia" w:eastAsia="Times New Roman" w:hAnsi="Georgia" w:cs="Times New Roman"/>
          <w:color w:val="000000" w:themeColor="text1"/>
          <w:kern w:val="0"/>
          <w14:ligatures w14:val="none"/>
        </w:rPr>
        <w:t> – This means the business is operating within risk appetite; no immediate action is necessary, but it is important to monitor risks and keep an eye out for changes in the internal or external environment that could trigger changes.</w:t>
      </w:r>
    </w:p>
    <w:p w14:paraId="2815CA74" w14:textId="77777777" w:rsidR="00F0387C" w:rsidRPr="008408F5" w:rsidRDefault="00F0387C" w:rsidP="00966E02">
      <w:pPr>
        <w:numPr>
          <w:ilvl w:val="0"/>
          <w:numId w:val="1"/>
        </w:numPr>
        <w:shd w:val="clear" w:color="auto" w:fill="FFFFFF"/>
        <w:spacing w:before="100" w:beforeAutospacing="1" w:after="100" w:afterAutospacing="1"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b/>
          <w:bCs/>
          <w:color w:val="000000" w:themeColor="text1"/>
          <w:kern w:val="0"/>
          <w14:ligatures w14:val="none"/>
        </w:rPr>
        <w:t>Shifting</w:t>
      </w:r>
      <w:r w:rsidRPr="008408F5">
        <w:rPr>
          <w:rFonts w:ascii="Georgia" w:eastAsia="Times New Roman" w:hAnsi="Georgia" w:cs="Times New Roman"/>
          <w:color w:val="000000" w:themeColor="text1"/>
          <w:kern w:val="0"/>
          <w14:ligatures w14:val="none"/>
        </w:rPr>
        <w:t xml:space="preserve"> – When a change in performance is noted, with indicators suggesting that the business is moving closer towards appetite thresholds, it is time to investigate and understand why a risk is becoming harder to manage (e.g.: Is there a deterioration in trading conditions?; Are there changes in </w:t>
      </w:r>
      <w:proofErr w:type="spellStart"/>
      <w:r w:rsidRPr="008408F5">
        <w:rPr>
          <w:rFonts w:ascii="Georgia" w:eastAsia="Times New Roman" w:hAnsi="Georgia" w:cs="Times New Roman"/>
          <w:color w:val="000000" w:themeColor="text1"/>
          <w:kern w:val="0"/>
          <w14:ligatures w14:val="none"/>
        </w:rPr>
        <w:t>behaviour</w:t>
      </w:r>
      <w:proofErr w:type="spellEnd"/>
      <w:r w:rsidRPr="008408F5">
        <w:rPr>
          <w:rFonts w:ascii="Georgia" w:eastAsia="Times New Roman" w:hAnsi="Georgia" w:cs="Times New Roman"/>
          <w:color w:val="000000" w:themeColor="text1"/>
          <w:kern w:val="0"/>
          <w14:ligatures w14:val="none"/>
        </w:rPr>
        <w:t xml:space="preserve"> or performance of staff?; Are there unforeseen events occurring which make it more likely?; etc.).</w:t>
      </w:r>
    </w:p>
    <w:p w14:paraId="05901589" w14:textId="77777777" w:rsidR="00F0387C" w:rsidRPr="008408F5" w:rsidRDefault="00F0387C" w:rsidP="00966E02">
      <w:pPr>
        <w:numPr>
          <w:ilvl w:val="0"/>
          <w:numId w:val="1"/>
        </w:numPr>
        <w:shd w:val="clear" w:color="auto" w:fill="FFFFFF"/>
        <w:spacing w:before="100" w:beforeAutospacing="1" w:after="100" w:afterAutospacing="1"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b/>
          <w:bCs/>
          <w:color w:val="000000" w:themeColor="text1"/>
          <w:kern w:val="0"/>
          <w14:ligatures w14:val="none"/>
        </w:rPr>
        <w:t>Out of comfort zone</w:t>
      </w:r>
      <w:r w:rsidRPr="008408F5">
        <w:rPr>
          <w:rFonts w:ascii="Georgia" w:eastAsia="Times New Roman" w:hAnsi="Georgia" w:cs="Times New Roman"/>
          <w:color w:val="000000" w:themeColor="text1"/>
          <w:kern w:val="0"/>
          <w14:ligatures w14:val="none"/>
        </w:rPr>
        <w:t> – In this scenario the appetite for a specific risk has been exceeded and immediate action is necessary to bring the risk back within acceptable levels.</w:t>
      </w:r>
    </w:p>
    <w:p w14:paraId="3AA17047" w14:textId="3DC420E6" w:rsidR="00966E02" w:rsidRPr="008408F5" w:rsidRDefault="00F0387C" w:rsidP="00966E02">
      <w:pPr>
        <w:shd w:val="clear" w:color="auto" w:fill="FFFFFF"/>
        <w:spacing w:after="360"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To ensure the right level of response, risk responses and actions by risk owners should be defined to ensure effective communication and notification timelines for risks to the executive committee and the board – i.e., how long it will take to notify these parties once a breach has become known? Equally, procedures should also involve a clearly defined risk treatment action plan that indicates how the risk and business teams will report on progress as the issue is managed.</w:t>
      </w:r>
    </w:p>
    <w:p w14:paraId="16E56588" w14:textId="77777777" w:rsidR="00F0387C" w:rsidRPr="008408F5" w:rsidRDefault="00F0387C" w:rsidP="00966E02">
      <w:pPr>
        <w:shd w:val="clear" w:color="auto" w:fill="FFFFFF"/>
        <w:spacing w:after="0" w:line="276" w:lineRule="auto"/>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4. Draft risk appetite statements</w:t>
      </w:r>
    </w:p>
    <w:p w14:paraId="7974D90F" w14:textId="77777777" w:rsidR="00F0387C" w:rsidRPr="008408F5" w:rsidRDefault="00F0387C" w:rsidP="00966E02">
      <w:pPr>
        <w:shd w:val="clear" w:color="auto" w:fill="FFFFFF"/>
        <w:spacing w:after="0"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Although there is no right way to draft a risk appetite statement, there are some fundamental areas that a clear, concise and effective statement may cover:</w:t>
      </w:r>
    </w:p>
    <w:p w14:paraId="0225E720" w14:textId="2B24039B" w:rsidR="00F0387C" w:rsidRPr="008408F5" w:rsidRDefault="00F0387C" w:rsidP="00966E02">
      <w:pPr>
        <w:pStyle w:val="ListParagraph"/>
        <w:numPr>
          <w:ilvl w:val="0"/>
          <w:numId w:val="8"/>
        </w:numPr>
        <w:spacing w:after="360" w:line="276" w:lineRule="auto"/>
        <w:jc w:val="both"/>
        <w:outlineLvl w:val="3"/>
        <w:rPr>
          <w:rFonts w:ascii="Georgia" w:eastAsia="Times New Roman" w:hAnsi="Georgia" w:cs="Times New Roman"/>
          <w:color w:val="000000" w:themeColor="text1"/>
          <w:kern w:val="0"/>
          <w14:ligatures w14:val="none"/>
        </w:rPr>
      </w:pPr>
      <w:proofErr w:type="gramStart"/>
      <w:r w:rsidRPr="008408F5">
        <w:rPr>
          <w:rFonts w:ascii="Georgia" w:eastAsia="Times New Roman" w:hAnsi="Georgia" w:cs="Times New Roman"/>
          <w:i/>
          <w:iCs/>
          <w:color w:val="000000" w:themeColor="text1"/>
          <w:kern w:val="0"/>
          <w14:ligatures w14:val="none"/>
        </w:rPr>
        <w:t>Context</w:t>
      </w:r>
      <w:r w:rsidR="0062677E" w:rsidRPr="008408F5">
        <w:rPr>
          <w:rFonts w:ascii="Georgia" w:eastAsia="Times New Roman" w:hAnsi="Georgia" w:cs="Times New Roman"/>
          <w:i/>
          <w:iCs/>
          <w:color w:val="000000" w:themeColor="text1"/>
          <w:kern w:val="0"/>
          <w14:ligatures w14:val="none"/>
        </w:rPr>
        <w:t>;</w:t>
      </w:r>
      <w:proofErr w:type="gramEnd"/>
      <w:r w:rsidR="0062677E" w:rsidRPr="008408F5">
        <w:rPr>
          <w:rFonts w:ascii="Georgia" w:eastAsia="Times New Roman" w:hAnsi="Georgia" w:cs="Times New Roman"/>
          <w:color w:val="000000" w:themeColor="text1"/>
          <w:kern w:val="0"/>
          <w14:ligatures w14:val="none"/>
        </w:rPr>
        <w:t xml:space="preserve"> </w:t>
      </w:r>
      <w:r w:rsidRPr="008408F5">
        <w:rPr>
          <w:rFonts w:ascii="Georgia" w:eastAsia="Times New Roman" w:hAnsi="Georgia" w:cs="Times New Roman"/>
          <w:color w:val="000000" w:themeColor="text1"/>
          <w:kern w:val="0"/>
          <w14:ligatures w14:val="none"/>
        </w:rPr>
        <w:t xml:space="preserve">When preparing a risk appetite </w:t>
      </w:r>
      <w:proofErr w:type="gramStart"/>
      <w:r w:rsidRPr="008408F5">
        <w:rPr>
          <w:rFonts w:ascii="Georgia" w:eastAsia="Times New Roman" w:hAnsi="Georgia" w:cs="Times New Roman"/>
          <w:color w:val="000000" w:themeColor="text1"/>
          <w:kern w:val="0"/>
          <w14:ligatures w14:val="none"/>
        </w:rPr>
        <w:t>statement</w:t>
      </w:r>
      <w:proofErr w:type="gramEnd"/>
      <w:r w:rsidRPr="008408F5">
        <w:rPr>
          <w:rFonts w:ascii="Georgia" w:eastAsia="Times New Roman" w:hAnsi="Georgia" w:cs="Times New Roman"/>
          <w:color w:val="000000" w:themeColor="text1"/>
          <w:kern w:val="0"/>
          <w14:ligatures w14:val="none"/>
        </w:rPr>
        <w:t xml:space="preserve"> it is important to understand the context. For example, provide a brief explanation as to how this risk relates to, and may impact, the overall strategy of the business. Are there any external drivers that should be considered?</w:t>
      </w:r>
    </w:p>
    <w:p w14:paraId="3D9AD71E" w14:textId="0D54E7ED" w:rsidR="00F0387C" w:rsidRPr="008408F5" w:rsidRDefault="00F0387C" w:rsidP="00966E02">
      <w:pPr>
        <w:pStyle w:val="ListParagraph"/>
        <w:numPr>
          <w:ilvl w:val="0"/>
          <w:numId w:val="8"/>
        </w:numPr>
        <w:spacing w:after="360" w:line="276" w:lineRule="auto"/>
        <w:jc w:val="both"/>
        <w:outlineLvl w:val="3"/>
        <w:rPr>
          <w:rFonts w:ascii="Georgia" w:eastAsia="Times New Roman" w:hAnsi="Georgia" w:cs="Times New Roman"/>
          <w:color w:val="000000" w:themeColor="text1"/>
          <w:kern w:val="0"/>
          <w14:ligatures w14:val="none"/>
        </w:rPr>
      </w:pPr>
      <w:r w:rsidRPr="008408F5">
        <w:rPr>
          <w:rFonts w:ascii="Georgia" w:eastAsia="Times New Roman" w:hAnsi="Georgia" w:cs="Times New Roman"/>
          <w:i/>
          <w:iCs/>
          <w:color w:val="000000" w:themeColor="text1"/>
          <w:kern w:val="0"/>
          <w14:ligatures w14:val="none"/>
        </w:rPr>
        <w:t>The statement itself</w:t>
      </w:r>
      <w:r w:rsidR="0062677E" w:rsidRPr="008408F5">
        <w:rPr>
          <w:rFonts w:ascii="Georgia" w:eastAsia="Times New Roman" w:hAnsi="Georgia" w:cs="Times New Roman"/>
          <w:i/>
          <w:iCs/>
          <w:color w:val="000000" w:themeColor="text1"/>
          <w:kern w:val="0"/>
          <w14:ligatures w14:val="none"/>
        </w:rPr>
        <w:t>;</w:t>
      </w:r>
      <w:r w:rsidR="0062677E" w:rsidRPr="008408F5">
        <w:rPr>
          <w:rFonts w:ascii="Georgia" w:eastAsia="Times New Roman" w:hAnsi="Georgia" w:cs="Times New Roman"/>
          <w:color w:val="000000" w:themeColor="text1"/>
          <w:kern w:val="0"/>
          <w14:ligatures w14:val="none"/>
        </w:rPr>
        <w:t xml:space="preserve"> </w:t>
      </w:r>
      <w:r w:rsidRPr="008408F5">
        <w:rPr>
          <w:rFonts w:ascii="Georgia" w:eastAsia="Times New Roman" w:hAnsi="Georgia" w:cs="Times New Roman"/>
          <w:color w:val="000000" w:themeColor="text1"/>
          <w:kern w:val="0"/>
          <w14:ligatures w14:val="none"/>
        </w:rPr>
        <w:t>This section should specify, in clear terms, what there is zero appetite for across different risk settings, what there is cautious appetite for, and why in some cases, circumstances or markets, there should be a higher level of risk appetite.</w:t>
      </w:r>
    </w:p>
    <w:p w14:paraId="1BE41752" w14:textId="29AEA034" w:rsidR="00F0387C" w:rsidRPr="008408F5" w:rsidRDefault="00F0387C" w:rsidP="00966E02">
      <w:pPr>
        <w:pStyle w:val="ListParagraph"/>
        <w:numPr>
          <w:ilvl w:val="0"/>
          <w:numId w:val="8"/>
        </w:numPr>
        <w:spacing w:after="360" w:line="276" w:lineRule="auto"/>
        <w:jc w:val="both"/>
        <w:outlineLvl w:val="3"/>
        <w:rPr>
          <w:rFonts w:ascii="Georgia" w:eastAsia="Times New Roman" w:hAnsi="Georgia" w:cs="Times New Roman"/>
          <w:color w:val="000000" w:themeColor="text1"/>
          <w:kern w:val="0"/>
          <w14:ligatures w14:val="none"/>
        </w:rPr>
      </w:pPr>
      <w:r w:rsidRPr="008408F5">
        <w:rPr>
          <w:rFonts w:ascii="Georgia" w:eastAsia="Times New Roman" w:hAnsi="Georgia" w:cs="Times New Roman"/>
          <w:i/>
          <w:iCs/>
          <w:color w:val="000000" w:themeColor="text1"/>
          <w:kern w:val="0"/>
          <w14:ligatures w14:val="none"/>
        </w:rPr>
        <w:t>Key risk indicators and limits</w:t>
      </w:r>
      <w:r w:rsidR="0062677E" w:rsidRPr="008408F5">
        <w:rPr>
          <w:rFonts w:ascii="Georgia" w:eastAsia="Times New Roman" w:hAnsi="Georgia" w:cs="Times New Roman"/>
          <w:i/>
          <w:iCs/>
          <w:color w:val="000000" w:themeColor="text1"/>
          <w:kern w:val="0"/>
          <w14:ligatures w14:val="none"/>
        </w:rPr>
        <w:t>;</w:t>
      </w:r>
      <w:r w:rsidR="0062677E" w:rsidRPr="008408F5">
        <w:rPr>
          <w:rFonts w:ascii="Georgia" w:eastAsia="Times New Roman" w:hAnsi="Georgia" w:cs="Times New Roman"/>
          <w:color w:val="000000" w:themeColor="text1"/>
          <w:kern w:val="0"/>
          <w14:ligatures w14:val="none"/>
        </w:rPr>
        <w:t xml:space="preserve"> </w:t>
      </w:r>
      <w:r w:rsidRPr="008408F5">
        <w:rPr>
          <w:rFonts w:ascii="Georgia" w:eastAsia="Times New Roman" w:hAnsi="Georgia" w:cs="Times New Roman"/>
          <w:color w:val="000000" w:themeColor="text1"/>
          <w:kern w:val="0"/>
          <w14:ligatures w14:val="none"/>
        </w:rPr>
        <w:t>The risk appetite statement should outline the key risk indicators that will be used to assess whether the business is operating within, close to, or outside of risk appetite – these indicators will also help to determine a course of action regarding the management of different risks.</w:t>
      </w:r>
    </w:p>
    <w:p w14:paraId="57FF864A" w14:textId="0CEF8797" w:rsidR="004C121D" w:rsidRPr="008408F5" w:rsidRDefault="004C121D" w:rsidP="00966E02">
      <w:pPr>
        <w:pStyle w:val="ListParagraph"/>
        <w:numPr>
          <w:ilvl w:val="0"/>
          <w:numId w:val="8"/>
        </w:numPr>
        <w:spacing w:after="360" w:line="276" w:lineRule="auto"/>
        <w:jc w:val="both"/>
        <w:outlineLvl w:val="3"/>
        <w:rPr>
          <w:rFonts w:ascii="Georgia" w:eastAsia="Times New Roman" w:hAnsi="Georgia" w:cs="Times New Roman"/>
          <w:color w:val="000000" w:themeColor="text1"/>
          <w:kern w:val="0"/>
          <w14:ligatures w14:val="none"/>
        </w:rPr>
      </w:pPr>
      <w:r w:rsidRPr="008408F5">
        <w:rPr>
          <w:rFonts w:ascii="Georgia" w:eastAsia="Times New Roman" w:hAnsi="Georgia" w:cs="Times New Roman"/>
          <w:i/>
          <w:iCs/>
          <w:color w:val="000000" w:themeColor="text1"/>
          <w:kern w:val="0"/>
          <w14:ligatures w14:val="none"/>
        </w:rPr>
        <w:t>Risk appetite setting</w:t>
      </w:r>
      <w:r w:rsidR="0062677E" w:rsidRPr="008408F5">
        <w:rPr>
          <w:rFonts w:ascii="Georgia" w:eastAsia="Times New Roman" w:hAnsi="Georgia" w:cs="Times New Roman"/>
          <w:i/>
          <w:iCs/>
          <w:color w:val="000000" w:themeColor="text1"/>
          <w:kern w:val="0"/>
          <w14:ligatures w14:val="none"/>
        </w:rPr>
        <w:t>;</w:t>
      </w:r>
      <w:r w:rsidR="0062677E" w:rsidRPr="008408F5">
        <w:rPr>
          <w:rFonts w:ascii="Georgia" w:eastAsia="Times New Roman" w:hAnsi="Georgia" w:cs="Times New Roman"/>
          <w:color w:val="000000" w:themeColor="text1"/>
          <w:kern w:val="0"/>
          <w14:ligatures w14:val="none"/>
        </w:rPr>
        <w:t xml:space="preserve"> </w:t>
      </w:r>
      <w:proofErr w:type="gramStart"/>
      <w:r w:rsidRPr="008408F5">
        <w:rPr>
          <w:rFonts w:ascii="Georgia" w:eastAsia="Times New Roman" w:hAnsi="Georgia" w:cs="Times New Roman"/>
          <w:color w:val="000000" w:themeColor="text1"/>
          <w:kern w:val="0"/>
          <w14:ligatures w14:val="none"/>
        </w:rPr>
        <w:t>In order to</w:t>
      </w:r>
      <w:proofErr w:type="gramEnd"/>
      <w:r w:rsidRPr="008408F5">
        <w:rPr>
          <w:rFonts w:ascii="Georgia" w:eastAsia="Times New Roman" w:hAnsi="Georgia" w:cs="Times New Roman"/>
          <w:color w:val="000000" w:themeColor="text1"/>
          <w:kern w:val="0"/>
          <w14:ligatures w14:val="none"/>
        </w:rPr>
        <w:t xml:space="preserve"> develop an overall picture of how the business is performing in terms of risk appetite, some businesses may aggregate their key risk indicators to determine whether the business is mostly inside or outside of risk appetite.</w:t>
      </w:r>
    </w:p>
    <w:p w14:paraId="6591B8A7" w14:textId="58125615" w:rsidR="004C121D" w:rsidRPr="008408F5" w:rsidRDefault="0062677E" w:rsidP="00966E02">
      <w:pPr>
        <w:shd w:val="clear" w:color="auto" w:fill="FFFFFF"/>
        <w:spacing w:after="0" w:line="276" w:lineRule="auto"/>
        <w:jc w:val="both"/>
        <w:outlineLvl w:val="1"/>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E</w:t>
      </w:r>
      <w:r w:rsidR="004C121D" w:rsidRPr="008408F5">
        <w:rPr>
          <w:rFonts w:ascii="Georgia" w:eastAsia="Times New Roman" w:hAnsi="Georgia" w:cs="Times New Roman"/>
          <w:b/>
          <w:bCs/>
          <w:color w:val="000000" w:themeColor="text1"/>
          <w:kern w:val="0"/>
          <w14:ligatures w14:val="none"/>
        </w:rPr>
        <w:t>mbed</w:t>
      </w:r>
      <w:r w:rsidRPr="008408F5">
        <w:rPr>
          <w:rFonts w:ascii="Georgia" w:eastAsia="Times New Roman" w:hAnsi="Georgia" w:cs="Times New Roman"/>
          <w:b/>
          <w:bCs/>
          <w:color w:val="000000" w:themeColor="text1"/>
          <w:kern w:val="0"/>
          <w14:ligatures w14:val="none"/>
        </w:rPr>
        <w:t>ding</w:t>
      </w:r>
      <w:r w:rsidR="004C121D" w:rsidRPr="008408F5">
        <w:rPr>
          <w:rFonts w:ascii="Georgia" w:eastAsia="Times New Roman" w:hAnsi="Georgia" w:cs="Times New Roman"/>
          <w:b/>
          <w:bCs/>
          <w:color w:val="000000" w:themeColor="text1"/>
          <w:kern w:val="0"/>
          <w14:ligatures w14:val="none"/>
        </w:rPr>
        <w:t xml:space="preserve"> </w:t>
      </w:r>
      <w:r w:rsidRPr="008408F5">
        <w:rPr>
          <w:rFonts w:ascii="Georgia" w:eastAsia="Times New Roman" w:hAnsi="Georgia" w:cs="Times New Roman"/>
          <w:b/>
          <w:bCs/>
          <w:color w:val="000000" w:themeColor="text1"/>
          <w:kern w:val="0"/>
          <w14:ligatures w14:val="none"/>
        </w:rPr>
        <w:t>R</w:t>
      </w:r>
      <w:r w:rsidR="004C121D" w:rsidRPr="008408F5">
        <w:rPr>
          <w:rFonts w:ascii="Georgia" w:eastAsia="Times New Roman" w:hAnsi="Georgia" w:cs="Times New Roman"/>
          <w:b/>
          <w:bCs/>
          <w:color w:val="000000" w:themeColor="text1"/>
          <w:kern w:val="0"/>
          <w14:ligatures w14:val="none"/>
        </w:rPr>
        <w:t>isk appetite in the business</w:t>
      </w:r>
    </w:p>
    <w:p w14:paraId="50279814" w14:textId="77777777" w:rsidR="004C121D" w:rsidRPr="008408F5" w:rsidRDefault="004C121D" w:rsidP="00966E02">
      <w:pPr>
        <w:shd w:val="clear" w:color="auto" w:fill="FFFFFF"/>
        <w:spacing w:after="0" w:line="276" w:lineRule="auto"/>
        <w:jc w:val="both"/>
        <w:outlineLvl w:val="2"/>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lastRenderedPageBreak/>
        <w:t>1. Build a set of key risk indicators to monitor appetite</w:t>
      </w:r>
    </w:p>
    <w:p w14:paraId="79682CD7" w14:textId="66495AEC" w:rsidR="00F0387C" w:rsidRPr="008408F5" w:rsidRDefault="004C121D" w:rsidP="00966E02">
      <w:pPr>
        <w:shd w:val="clear" w:color="auto" w:fill="FFFFFF"/>
        <w:spacing w:after="0"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While key performance indicators (KPIs) look back at what has been achieved (to answer questions like, have set objectives been met?), KRIs look forward to the potential threats or opportunities that may, eventually, impact performance in the future and cause the business to exceed risk appetite.</w:t>
      </w:r>
    </w:p>
    <w:p w14:paraId="4B28B527" w14:textId="77777777" w:rsidR="004C121D" w:rsidRPr="008408F5" w:rsidRDefault="004C121D" w:rsidP="00966E02">
      <w:pPr>
        <w:shd w:val="clear" w:color="auto" w:fill="FFFFFF"/>
        <w:spacing w:after="0" w:line="276" w:lineRule="auto"/>
        <w:jc w:val="both"/>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2. Engage with the board on risk appetite</w:t>
      </w:r>
    </w:p>
    <w:p w14:paraId="73BA7973" w14:textId="1A401402" w:rsidR="004C121D" w:rsidRPr="008408F5" w:rsidRDefault="004C121D" w:rsidP="00966E02">
      <w:pPr>
        <w:shd w:val="clear" w:color="auto" w:fill="FFFFFF"/>
        <w:spacing w:after="0"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 xml:space="preserve">The board needs to set the tone for risk and risk taking. Senior leaders should also be aware of risk appetite and its role and purpose within the business. If senior leaders are risk-averse, then the </w:t>
      </w:r>
      <w:r w:rsidR="00AB5B3D" w:rsidRPr="008408F5">
        <w:rPr>
          <w:rFonts w:ascii="Georgia" w:eastAsia="Times New Roman" w:hAnsi="Georgia" w:cs="Times New Roman"/>
          <w:color w:val="000000" w:themeColor="text1"/>
          <w:kern w:val="0"/>
          <w14:ligatures w14:val="none"/>
        </w:rPr>
        <w:t>organization’s</w:t>
      </w:r>
      <w:r w:rsidRPr="008408F5">
        <w:rPr>
          <w:rFonts w:ascii="Georgia" w:eastAsia="Times New Roman" w:hAnsi="Georgia" w:cs="Times New Roman"/>
          <w:color w:val="000000" w:themeColor="text1"/>
          <w:kern w:val="0"/>
          <w14:ligatures w14:val="none"/>
        </w:rPr>
        <w:t xml:space="preserve"> appetite for key risks is likely to be low.</w:t>
      </w:r>
    </w:p>
    <w:p w14:paraId="53D21A47" w14:textId="77777777" w:rsidR="004C121D" w:rsidRPr="008408F5" w:rsidRDefault="004C121D" w:rsidP="00966E02">
      <w:pPr>
        <w:shd w:val="clear" w:color="auto" w:fill="FFFFFF"/>
        <w:spacing w:after="0"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Alternatively, do executives proactively encourage people around the business as part of developing a more dynamic, risk-aware culture capable of taking on more risk? Whilst boards’ involvement in risk appetite is typically at the sign-off stage, it pays to understand the factors that influence board-level decisions.</w:t>
      </w:r>
    </w:p>
    <w:p w14:paraId="646EBC25" w14:textId="77777777" w:rsidR="004C121D" w:rsidRPr="008408F5" w:rsidRDefault="004C121D" w:rsidP="00966E02">
      <w:pPr>
        <w:shd w:val="clear" w:color="auto" w:fill="FFFFFF"/>
        <w:spacing w:after="0" w:line="276" w:lineRule="auto"/>
        <w:jc w:val="both"/>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3. Develop awareness of risk appetite within the business</w:t>
      </w:r>
    </w:p>
    <w:p w14:paraId="0734D4A6" w14:textId="7B1E06C6" w:rsidR="004C121D" w:rsidRPr="008408F5" w:rsidRDefault="004C121D" w:rsidP="00966E02">
      <w:pPr>
        <w:shd w:val="clear" w:color="auto" w:fill="FFFFFF"/>
        <w:spacing w:after="0"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According to research in our report, </w:t>
      </w:r>
      <w:r w:rsidRPr="008408F5">
        <w:rPr>
          <w:rFonts w:ascii="Georgia" w:eastAsia="Times New Roman" w:hAnsi="Georgia" w:cs="Times New Roman"/>
          <w:i/>
          <w:iCs/>
          <w:color w:val="000000" w:themeColor="text1"/>
          <w:kern w:val="0"/>
          <w14:ligatures w14:val="none"/>
        </w:rPr>
        <w:t>Risk Leaders’ Insight: Risk appetite</w:t>
      </w:r>
      <w:r w:rsidRPr="008408F5">
        <w:rPr>
          <w:rFonts w:ascii="Georgia" w:eastAsia="Times New Roman" w:hAnsi="Georgia" w:cs="Times New Roman"/>
          <w:color w:val="000000" w:themeColor="text1"/>
          <w:kern w:val="0"/>
          <w14:ligatures w14:val="none"/>
        </w:rPr>
        <w:t>, just under 10% of risk leaders said that appetite was currently used by a significant portion of their staff from executive through to the frontline. Drilling down further into the findings of the survey, 19% revealed that while the board and executive committee have approved risk appetite statements, these are not used by the business. There is a lot of work still to be done on risk appetite.</w:t>
      </w:r>
    </w:p>
    <w:p w14:paraId="6224CA6E" w14:textId="2B08A01D" w:rsidR="00F0387C" w:rsidRPr="008408F5" w:rsidRDefault="004C121D" w:rsidP="00966E02">
      <w:pPr>
        <w:shd w:val="clear" w:color="auto" w:fill="FFFFFF"/>
        <w:spacing w:after="0"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 xml:space="preserve">Therefore, aligning your risk appetite framework with the governance structure of the </w:t>
      </w:r>
      <w:proofErr w:type="spellStart"/>
      <w:r w:rsidRPr="008408F5">
        <w:rPr>
          <w:rFonts w:ascii="Georgia" w:eastAsia="Times New Roman" w:hAnsi="Georgia" w:cs="Times New Roman"/>
          <w:color w:val="000000" w:themeColor="text1"/>
          <w:kern w:val="0"/>
          <w14:ligatures w14:val="none"/>
        </w:rPr>
        <w:t>organisation</w:t>
      </w:r>
      <w:proofErr w:type="spellEnd"/>
      <w:r w:rsidRPr="008408F5">
        <w:rPr>
          <w:rFonts w:ascii="Georgia" w:eastAsia="Times New Roman" w:hAnsi="Georgia" w:cs="Times New Roman"/>
          <w:color w:val="000000" w:themeColor="text1"/>
          <w:kern w:val="0"/>
          <w14:ligatures w14:val="none"/>
        </w:rPr>
        <w:t xml:space="preserve"> is key – instead of chasing employees to carry out risk activity and think about risk appetite, it should be embedded as part of the processes they follow on a monthly, weekly or even daily basis.</w:t>
      </w:r>
    </w:p>
    <w:p w14:paraId="038A6A7E" w14:textId="77777777" w:rsidR="004C121D" w:rsidRPr="008408F5" w:rsidRDefault="004C121D" w:rsidP="00966E02">
      <w:pPr>
        <w:shd w:val="clear" w:color="auto" w:fill="FFFFFF"/>
        <w:spacing w:after="0" w:line="276" w:lineRule="auto"/>
        <w:jc w:val="both"/>
        <w:rPr>
          <w:rFonts w:ascii="Georgia" w:eastAsia="Times New Roman" w:hAnsi="Georgia" w:cs="Times New Roman"/>
          <w:b/>
          <w:bCs/>
          <w:color w:val="000000" w:themeColor="text1"/>
          <w:kern w:val="0"/>
          <w14:ligatures w14:val="none"/>
        </w:rPr>
      </w:pPr>
      <w:r w:rsidRPr="008408F5">
        <w:rPr>
          <w:rFonts w:ascii="Georgia" w:eastAsia="Times New Roman" w:hAnsi="Georgia" w:cs="Times New Roman"/>
          <w:b/>
          <w:bCs/>
          <w:color w:val="000000" w:themeColor="text1"/>
          <w:kern w:val="0"/>
          <w14:ligatures w14:val="none"/>
        </w:rPr>
        <w:t>4. Use risk appetite to support good decision-making</w:t>
      </w:r>
    </w:p>
    <w:p w14:paraId="7B3FBC4C" w14:textId="429B8732" w:rsidR="004C121D" w:rsidRPr="008408F5" w:rsidRDefault="004C121D" w:rsidP="00966E02">
      <w:pPr>
        <w:shd w:val="clear" w:color="auto" w:fill="FFFFFF"/>
        <w:spacing w:after="0" w:line="276" w:lineRule="auto"/>
        <w:jc w:val="both"/>
        <w:rPr>
          <w:rFonts w:ascii="Georgia" w:eastAsia="Times New Roman" w:hAnsi="Georgia" w:cs="Times New Roman"/>
          <w:color w:val="000000" w:themeColor="text1"/>
          <w:kern w:val="0"/>
          <w14:ligatures w14:val="none"/>
        </w:rPr>
      </w:pPr>
      <w:r w:rsidRPr="008408F5">
        <w:rPr>
          <w:rFonts w:ascii="Georgia" w:eastAsia="Times New Roman" w:hAnsi="Georgia" w:cs="Times New Roman"/>
          <w:color w:val="000000" w:themeColor="text1"/>
          <w:kern w:val="0"/>
          <w14:ligatures w14:val="none"/>
        </w:rPr>
        <w:t xml:space="preserve">Arguably the most meaningful aspect of embedding risk appetite within the business is using it to make better decisions, as this will demonstrate the value of your risk appetite framework to the entire </w:t>
      </w:r>
      <w:proofErr w:type="spellStart"/>
      <w:r w:rsidRPr="008408F5">
        <w:rPr>
          <w:rFonts w:ascii="Georgia" w:eastAsia="Times New Roman" w:hAnsi="Georgia" w:cs="Times New Roman"/>
          <w:color w:val="000000" w:themeColor="text1"/>
          <w:kern w:val="0"/>
          <w14:ligatures w14:val="none"/>
        </w:rPr>
        <w:t>organisation</w:t>
      </w:r>
      <w:proofErr w:type="spellEnd"/>
      <w:r w:rsidRPr="008408F5">
        <w:rPr>
          <w:rFonts w:ascii="Georgia" w:eastAsia="Times New Roman" w:hAnsi="Georgia" w:cs="Times New Roman"/>
          <w:color w:val="000000" w:themeColor="text1"/>
          <w:kern w:val="0"/>
          <w14:ligatures w14:val="none"/>
        </w:rPr>
        <w:t>.</w:t>
      </w:r>
    </w:p>
    <w:p w14:paraId="598C1DB5" w14:textId="77777777" w:rsidR="00F0387C" w:rsidRPr="008408F5" w:rsidRDefault="00F0387C" w:rsidP="00966E02">
      <w:pPr>
        <w:spacing w:after="0" w:line="276" w:lineRule="auto"/>
        <w:jc w:val="both"/>
        <w:rPr>
          <w:rFonts w:ascii="Georgia" w:hAnsi="Georgia" w:cs="Times New Roman"/>
          <w:color w:val="000000" w:themeColor="text1"/>
        </w:rPr>
      </w:pPr>
    </w:p>
    <w:sectPr w:rsidR="00F0387C" w:rsidRPr="008408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97C9" w14:textId="77777777" w:rsidR="00251CDA" w:rsidRDefault="00251CDA" w:rsidP="00635A61">
      <w:pPr>
        <w:spacing w:after="0" w:line="240" w:lineRule="auto"/>
      </w:pPr>
      <w:r>
        <w:separator/>
      </w:r>
    </w:p>
  </w:endnote>
  <w:endnote w:type="continuationSeparator" w:id="0">
    <w:p w14:paraId="227E8FB1" w14:textId="77777777" w:rsidR="00251CDA" w:rsidRDefault="00251CDA" w:rsidP="0063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256100"/>
      <w:docPartObj>
        <w:docPartGallery w:val="Page Numbers (Bottom of Page)"/>
        <w:docPartUnique/>
      </w:docPartObj>
    </w:sdtPr>
    <w:sdtEndPr>
      <w:rPr>
        <w:noProof/>
      </w:rPr>
    </w:sdtEndPr>
    <w:sdtContent>
      <w:p w14:paraId="0F98A4F9" w14:textId="1183B164" w:rsidR="00635A61" w:rsidRDefault="00635A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665F8" w14:textId="77777777" w:rsidR="00635A61" w:rsidRDefault="0063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EFE4" w14:textId="77777777" w:rsidR="00251CDA" w:rsidRDefault="00251CDA" w:rsidP="00635A61">
      <w:pPr>
        <w:spacing w:after="0" w:line="240" w:lineRule="auto"/>
      </w:pPr>
      <w:r>
        <w:separator/>
      </w:r>
    </w:p>
  </w:footnote>
  <w:footnote w:type="continuationSeparator" w:id="0">
    <w:p w14:paraId="73E49714" w14:textId="77777777" w:rsidR="00251CDA" w:rsidRDefault="00251CDA" w:rsidP="00635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D7A"/>
    <w:multiLevelType w:val="multilevel"/>
    <w:tmpl w:val="1744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B5D06"/>
    <w:multiLevelType w:val="multilevel"/>
    <w:tmpl w:val="77F0C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B5AFE"/>
    <w:multiLevelType w:val="multilevel"/>
    <w:tmpl w:val="188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C7F3F"/>
    <w:multiLevelType w:val="multilevel"/>
    <w:tmpl w:val="E230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1AB"/>
    <w:multiLevelType w:val="hybridMultilevel"/>
    <w:tmpl w:val="489ACA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D5FBB"/>
    <w:multiLevelType w:val="multilevel"/>
    <w:tmpl w:val="A416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91CC9"/>
    <w:multiLevelType w:val="multilevel"/>
    <w:tmpl w:val="D6B439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17B7F"/>
    <w:multiLevelType w:val="multilevel"/>
    <w:tmpl w:val="041A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37A33"/>
    <w:multiLevelType w:val="multilevel"/>
    <w:tmpl w:val="A426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417E5"/>
    <w:multiLevelType w:val="multilevel"/>
    <w:tmpl w:val="C666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945B7"/>
    <w:multiLevelType w:val="multilevel"/>
    <w:tmpl w:val="7AF4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37466"/>
    <w:multiLevelType w:val="multilevel"/>
    <w:tmpl w:val="8454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2757F"/>
    <w:multiLevelType w:val="multilevel"/>
    <w:tmpl w:val="B500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A46FB"/>
    <w:multiLevelType w:val="multilevel"/>
    <w:tmpl w:val="BF44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857955">
    <w:abstractNumId w:val="0"/>
  </w:num>
  <w:num w:numId="2" w16cid:durableId="1970740986">
    <w:abstractNumId w:val="13"/>
  </w:num>
  <w:num w:numId="3" w16cid:durableId="1495293114">
    <w:abstractNumId w:val="2"/>
  </w:num>
  <w:num w:numId="4" w16cid:durableId="2115703539">
    <w:abstractNumId w:val="8"/>
  </w:num>
  <w:num w:numId="5" w16cid:durableId="2053066617">
    <w:abstractNumId w:val="3"/>
  </w:num>
  <w:num w:numId="6" w16cid:durableId="1898474939">
    <w:abstractNumId w:val="6"/>
  </w:num>
  <w:num w:numId="7" w16cid:durableId="1850099704">
    <w:abstractNumId w:val="1"/>
  </w:num>
  <w:num w:numId="8" w16cid:durableId="1852917258">
    <w:abstractNumId w:val="4"/>
  </w:num>
  <w:num w:numId="9" w16cid:durableId="2053193634">
    <w:abstractNumId w:val="9"/>
  </w:num>
  <w:num w:numId="10" w16cid:durableId="2080440979">
    <w:abstractNumId w:val="11"/>
  </w:num>
  <w:num w:numId="11" w16cid:durableId="1170291790">
    <w:abstractNumId w:val="12"/>
  </w:num>
  <w:num w:numId="12" w16cid:durableId="996423558">
    <w:abstractNumId w:val="5"/>
  </w:num>
  <w:num w:numId="13" w16cid:durableId="1858234293">
    <w:abstractNumId w:val="7"/>
  </w:num>
  <w:num w:numId="14" w16cid:durableId="721715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7C"/>
    <w:rsid w:val="0005676A"/>
    <w:rsid w:val="00121B98"/>
    <w:rsid w:val="001E47A6"/>
    <w:rsid w:val="00204F2C"/>
    <w:rsid w:val="00251CDA"/>
    <w:rsid w:val="004A275A"/>
    <w:rsid w:val="004C121D"/>
    <w:rsid w:val="00564B66"/>
    <w:rsid w:val="00577401"/>
    <w:rsid w:val="0062398B"/>
    <w:rsid w:val="0062677E"/>
    <w:rsid w:val="00635A61"/>
    <w:rsid w:val="00837279"/>
    <w:rsid w:val="008408F5"/>
    <w:rsid w:val="00844B2B"/>
    <w:rsid w:val="008C7031"/>
    <w:rsid w:val="00916CA8"/>
    <w:rsid w:val="00966E02"/>
    <w:rsid w:val="00972617"/>
    <w:rsid w:val="00AA23C7"/>
    <w:rsid w:val="00AB5B3D"/>
    <w:rsid w:val="00B7317E"/>
    <w:rsid w:val="00B80DBB"/>
    <w:rsid w:val="00BB6545"/>
    <w:rsid w:val="00BE3EC5"/>
    <w:rsid w:val="00CC6D0C"/>
    <w:rsid w:val="00CD4C63"/>
    <w:rsid w:val="00DF3682"/>
    <w:rsid w:val="00E37ADA"/>
    <w:rsid w:val="00F0387C"/>
    <w:rsid w:val="00F21669"/>
    <w:rsid w:val="00F2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5F59"/>
  <w15:chartTrackingRefBased/>
  <w15:docId w15:val="{90F0EE4A-BF01-4286-B254-85005D55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3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3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3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3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3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3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87C"/>
    <w:rPr>
      <w:rFonts w:eastAsiaTheme="majorEastAsia" w:cstheme="majorBidi"/>
      <w:color w:val="272727" w:themeColor="text1" w:themeTint="D8"/>
    </w:rPr>
  </w:style>
  <w:style w:type="paragraph" w:styleId="Title">
    <w:name w:val="Title"/>
    <w:basedOn w:val="Normal"/>
    <w:next w:val="Normal"/>
    <w:link w:val="TitleChar"/>
    <w:uiPriority w:val="10"/>
    <w:qFormat/>
    <w:rsid w:val="00F03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87C"/>
    <w:pPr>
      <w:spacing w:before="160"/>
      <w:jc w:val="center"/>
    </w:pPr>
    <w:rPr>
      <w:i/>
      <w:iCs/>
      <w:color w:val="404040" w:themeColor="text1" w:themeTint="BF"/>
    </w:rPr>
  </w:style>
  <w:style w:type="character" w:customStyle="1" w:styleId="QuoteChar">
    <w:name w:val="Quote Char"/>
    <w:basedOn w:val="DefaultParagraphFont"/>
    <w:link w:val="Quote"/>
    <w:uiPriority w:val="29"/>
    <w:rsid w:val="00F0387C"/>
    <w:rPr>
      <w:i/>
      <w:iCs/>
      <w:color w:val="404040" w:themeColor="text1" w:themeTint="BF"/>
    </w:rPr>
  </w:style>
  <w:style w:type="paragraph" w:styleId="ListParagraph">
    <w:name w:val="List Paragraph"/>
    <w:basedOn w:val="Normal"/>
    <w:uiPriority w:val="34"/>
    <w:qFormat/>
    <w:rsid w:val="00F0387C"/>
    <w:pPr>
      <w:ind w:left="720"/>
      <w:contextualSpacing/>
    </w:pPr>
  </w:style>
  <w:style w:type="character" w:styleId="IntenseEmphasis">
    <w:name w:val="Intense Emphasis"/>
    <w:basedOn w:val="DefaultParagraphFont"/>
    <w:uiPriority w:val="21"/>
    <w:qFormat/>
    <w:rsid w:val="00F0387C"/>
    <w:rPr>
      <w:i/>
      <w:iCs/>
      <w:color w:val="0F4761" w:themeColor="accent1" w:themeShade="BF"/>
    </w:rPr>
  </w:style>
  <w:style w:type="paragraph" w:styleId="IntenseQuote">
    <w:name w:val="Intense Quote"/>
    <w:basedOn w:val="Normal"/>
    <w:next w:val="Normal"/>
    <w:link w:val="IntenseQuoteChar"/>
    <w:uiPriority w:val="30"/>
    <w:qFormat/>
    <w:rsid w:val="00F03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87C"/>
    <w:rPr>
      <w:i/>
      <w:iCs/>
      <w:color w:val="0F4761" w:themeColor="accent1" w:themeShade="BF"/>
    </w:rPr>
  </w:style>
  <w:style w:type="character" w:styleId="IntenseReference">
    <w:name w:val="Intense Reference"/>
    <w:basedOn w:val="DefaultParagraphFont"/>
    <w:uiPriority w:val="32"/>
    <w:qFormat/>
    <w:rsid w:val="00F0387C"/>
    <w:rPr>
      <w:b/>
      <w:bCs/>
      <w:smallCaps/>
      <w:color w:val="0F4761" w:themeColor="accent1" w:themeShade="BF"/>
      <w:spacing w:val="5"/>
    </w:rPr>
  </w:style>
  <w:style w:type="paragraph" w:styleId="NormalWeb">
    <w:name w:val="Normal (Web)"/>
    <w:basedOn w:val="Normal"/>
    <w:uiPriority w:val="99"/>
    <w:semiHidden/>
    <w:unhideWhenUsed/>
    <w:rsid w:val="00F038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C121D"/>
    <w:rPr>
      <w:color w:val="467886" w:themeColor="hyperlink"/>
      <w:u w:val="single"/>
    </w:rPr>
  </w:style>
  <w:style w:type="character" w:styleId="UnresolvedMention">
    <w:name w:val="Unresolved Mention"/>
    <w:basedOn w:val="DefaultParagraphFont"/>
    <w:uiPriority w:val="99"/>
    <w:semiHidden/>
    <w:unhideWhenUsed/>
    <w:rsid w:val="004C121D"/>
    <w:rPr>
      <w:color w:val="605E5C"/>
      <w:shd w:val="clear" w:color="auto" w:fill="E1DFDD"/>
    </w:rPr>
  </w:style>
  <w:style w:type="paragraph" w:styleId="Header">
    <w:name w:val="header"/>
    <w:basedOn w:val="Normal"/>
    <w:link w:val="HeaderChar"/>
    <w:uiPriority w:val="99"/>
    <w:unhideWhenUsed/>
    <w:rsid w:val="0063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A61"/>
  </w:style>
  <w:style w:type="paragraph" w:styleId="Footer">
    <w:name w:val="footer"/>
    <w:basedOn w:val="Normal"/>
    <w:link w:val="FooterChar"/>
    <w:uiPriority w:val="99"/>
    <w:unhideWhenUsed/>
    <w:rsid w:val="0063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A61"/>
  </w:style>
  <w:style w:type="character" w:styleId="Strong">
    <w:name w:val="Strong"/>
    <w:basedOn w:val="DefaultParagraphFont"/>
    <w:uiPriority w:val="22"/>
    <w:qFormat/>
    <w:rsid w:val="00972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609">
      <w:bodyDiv w:val="1"/>
      <w:marLeft w:val="0"/>
      <w:marRight w:val="0"/>
      <w:marTop w:val="0"/>
      <w:marBottom w:val="0"/>
      <w:divBdr>
        <w:top w:val="none" w:sz="0" w:space="0" w:color="auto"/>
        <w:left w:val="none" w:sz="0" w:space="0" w:color="auto"/>
        <w:bottom w:val="none" w:sz="0" w:space="0" w:color="auto"/>
        <w:right w:val="none" w:sz="0" w:space="0" w:color="auto"/>
      </w:divBdr>
    </w:div>
    <w:div w:id="76512943">
      <w:bodyDiv w:val="1"/>
      <w:marLeft w:val="0"/>
      <w:marRight w:val="0"/>
      <w:marTop w:val="0"/>
      <w:marBottom w:val="0"/>
      <w:divBdr>
        <w:top w:val="none" w:sz="0" w:space="0" w:color="auto"/>
        <w:left w:val="none" w:sz="0" w:space="0" w:color="auto"/>
        <w:bottom w:val="none" w:sz="0" w:space="0" w:color="auto"/>
        <w:right w:val="none" w:sz="0" w:space="0" w:color="auto"/>
      </w:divBdr>
    </w:div>
    <w:div w:id="180435721">
      <w:bodyDiv w:val="1"/>
      <w:marLeft w:val="0"/>
      <w:marRight w:val="0"/>
      <w:marTop w:val="0"/>
      <w:marBottom w:val="0"/>
      <w:divBdr>
        <w:top w:val="none" w:sz="0" w:space="0" w:color="auto"/>
        <w:left w:val="none" w:sz="0" w:space="0" w:color="auto"/>
        <w:bottom w:val="none" w:sz="0" w:space="0" w:color="auto"/>
        <w:right w:val="none" w:sz="0" w:space="0" w:color="auto"/>
      </w:divBdr>
    </w:div>
    <w:div w:id="185994803">
      <w:bodyDiv w:val="1"/>
      <w:marLeft w:val="0"/>
      <w:marRight w:val="0"/>
      <w:marTop w:val="0"/>
      <w:marBottom w:val="0"/>
      <w:divBdr>
        <w:top w:val="none" w:sz="0" w:space="0" w:color="auto"/>
        <w:left w:val="none" w:sz="0" w:space="0" w:color="auto"/>
        <w:bottom w:val="none" w:sz="0" w:space="0" w:color="auto"/>
        <w:right w:val="none" w:sz="0" w:space="0" w:color="auto"/>
      </w:divBdr>
    </w:div>
    <w:div w:id="211622613">
      <w:bodyDiv w:val="1"/>
      <w:marLeft w:val="0"/>
      <w:marRight w:val="0"/>
      <w:marTop w:val="0"/>
      <w:marBottom w:val="0"/>
      <w:divBdr>
        <w:top w:val="none" w:sz="0" w:space="0" w:color="auto"/>
        <w:left w:val="none" w:sz="0" w:space="0" w:color="auto"/>
        <w:bottom w:val="none" w:sz="0" w:space="0" w:color="auto"/>
        <w:right w:val="none" w:sz="0" w:space="0" w:color="auto"/>
      </w:divBdr>
    </w:div>
    <w:div w:id="250429375">
      <w:bodyDiv w:val="1"/>
      <w:marLeft w:val="0"/>
      <w:marRight w:val="0"/>
      <w:marTop w:val="0"/>
      <w:marBottom w:val="0"/>
      <w:divBdr>
        <w:top w:val="none" w:sz="0" w:space="0" w:color="auto"/>
        <w:left w:val="none" w:sz="0" w:space="0" w:color="auto"/>
        <w:bottom w:val="none" w:sz="0" w:space="0" w:color="auto"/>
        <w:right w:val="none" w:sz="0" w:space="0" w:color="auto"/>
      </w:divBdr>
    </w:div>
    <w:div w:id="313031408">
      <w:bodyDiv w:val="1"/>
      <w:marLeft w:val="0"/>
      <w:marRight w:val="0"/>
      <w:marTop w:val="0"/>
      <w:marBottom w:val="0"/>
      <w:divBdr>
        <w:top w:val="none" w:sz="0" w:space="0" w:color="auto"/>
        <w:left w:val="none" w:sz="0" w:space="0" w:color="auto"/>
        <w:bottom w:val="none" w:sz="0" w:space="0" w:color="auto"/>
        <w:right w:val="none" w:sz="0" w:space="0" w:color="auto"/>
      </w:divBdr>
    </w:div>
    <w:div w:id="349796023">
      <w:bodyDiv w:val="1"/>
      <w:marLeft w:val="0"/>
      <w:marRight w:val="0"/>
      <w:marTop w:val="0"/>
      <w:marBottom w:val="0"/>
      <w:divBdr>
        <w:top w:val="none" w:sz="0" w:space="0" w:color="auto"/>
        <w:left w:val="none" w:sz="0" w:space="0" w:color="auto"/>
        <w:bottom w:val="none" w:sz="0" w:space="0" w:color="auto"/>
        <w:right w:val="none" w:sz="0" w:space="0" w:color="auto"/>
      </w:divBdr>
    </w:div>
    <w:div w:id="356001493">
      <w:bodyDiv w:val="1"/>
      <w:marLeft w:val="0"/>
      <w:marRight w:val="0"/>
      <w:marTop w:val="0"/>
      <w:marBottom w:val="0"/>
      <w:divBdr>
        <w:top w:val="none" w:sz="0" w:space="0" w:color="auto"/>
        <w:left w:val="none" w:sz="0" w:space="0" w:color="auto"/>
        <w:bottom w:val="none" w:sz="0" w:space="0" w:color="auto"/>
        <w:right w:val="none" w:sz="0" w:space="0" w:color="auto"/>
      </w:divBdr>
    </w:div>
    <w:div w:id="441342891">
      <w:bodyDiv w:val="1"/>
      <w:marLeft w:val="0"/>
      <w:marRight w:val="0"/>
      <w:marTop w:val="0"/>
      <w:marBottom w:val="0"/>
      <w:divBdr>
        <w:top w:val="none" w:sz="0" w:space="0" w:color="auto"/>
        <w:left w:val="none" w:sz="0" w:space="0" w:color="auto"/>
        <w:bottom w:val="none" w:sz="0" w:space="0" w:color="auto"/>
        <w:right w:val="none" w:sz="0" w:space="0" w:color="auto"/>
      </w:divBdr>
    </w:div>
    <w:div w:id="467209665">
      <w:bodyDiv w:val="1"/>
      <w:marLeft w:val="0"/>
      <w:marRight w:val="0"/>
      <w:marTop w:val="0"/>
      <w:marBottom w:val="0"/>
      <w:divBdr>
        <w:top w:val="none" w:sz="0" w:space="0" w:color="auto"/>
        <w:left w:val="none" w:sz="0" w:space="0" w:color="auto"/>
        <w:bottom w:val="none" w:sz="0" w:space="0" w:color="auto"/>
        <w:right w:val="none" w:sz="0" w:space="0" w:color="auto"/>
      </w:divBdr>
    </w:div>
    <w:div w:id="480464671">
      <w:bodyDiv w:val="1"/>
      <w:marLeft w:val="0"/>
      <w:marRight w:val="0"/>
      <w:marTop w:val="0"/>
      <w:marBottom w:val="0"/>
      <w:divBdr>
        <w:top w:val="none" w:sz="0" w:space="0" w:color="auto"/>
        <w:left w:val="none" w:sz="0" w:space="0" w:color="auto"/>
        <w:bottom w:val="none" w:sz="0" w:space="0" w:color="auto"/>
        <w:right w:val="none" w:sz="0" w:space="0" w:color="auto"/>
      </w:divBdr>
    </w:div>
    <w:div w:id="556362149">
      <w:bodyDiv w:val="1"/>
      <w:marLeft w:val="0"/>
      <w:marRight w:val="0"/>
      <w:marTop w:val="0"/>
      <w:marBottom w:val="0"/>
      <w:divBdr>
        <w:top w:val="none" w:sz="0" w:space="0" w:color="auto"/>
        <w:left w:val="none" w:sz="0" w:space="0" w:color="auto"/>
        <w:bottom w:val="none" w:sz="0" w:space="0" w:color="auto"/>
        <w:right w:val="none" w:sz="0" w:space="0" w:color="auto"/>
      </w:divBdr>
    </w:div>
    <w:div w:id="632642078">
      <w:bodyDiv w:val="1"/>
      <w:marLeft w:val="0"/>
      <w:marRight w:val="0"/>
      <w:marTop w:val="0"/>
      <w:marBottom w:val="0"/>
      <w:divBdr>
        <w:top w:val="none" w:sz="0" w:space="0" w:color="auto"/>
        <w:left w:val="none" w:sz="0" w:space="0" w:color="auto"/>
        <w:bottom w:val="none" w:sz="0" w:space="0" w:color="auto"/>
        <w:right w:val="none" w:sz="0" w:space="0" w:color="auto"/>
      </w:divBdr>
      <w:divsChild>
        <w:div w:id="1613123013">
          <w:marLeft w:val="0"/>
          <w:marRight w:val="0"/>
          <w:marTop w:val="0"/>
          <w:marBottom w:val="0"/>
          <w:divBdr>
            <w:top w:val="none" w:sz="0" w:space="0" w:color="auto"/>
            <w:left w:val="none" w:sz="0" w:space="0" w:color="auto"/>
            <w:bottom w:val="none" w:sz="0" w:space="0" w:color="auto"/>
            <w:right w:val="none" w:sz="0" w:space="0" w:color="auto"/>
          </w:divBdr>
        </w:div>
      </w:divsChild>
    </w:div>
    <w:div w:id="765925787">
      <w:bodyDiv w:val="1"/>
      <w:marLeft w:val="0"/>
      <w:marRight w:val="0"/>
      <w:marTop w:val="0"/>
      <w:marBottom w:val="0"/>
      <w:divBdr>
        <w:top w:val="none" w:sz="0" w:space="0" w:color="auto"/>
        <w:left w:val="none" w:sz="0" w:space="0" w:color="auto"/>
        <w:bottom w:val="none" w:sz="0" w:space="0" w:color="auto"/>
        <w:right w:val="none" w:sz="0" w:space="0" w:color="auto"/>
      </w:divBdr>
    </w:div>
    <w:div w:id="947153527">
      <w:bodyDiv w:val="1"/>
      <w:marLeft w:val="0"/>
      <w:marRight w:val="0"/>
      <w:marTop w:val="0"/>
      <w:marBottom w:val="0"/>
      <w:divBdr>
        <w:top w:val="none" w:sz="0" w:space="0" w:color="auto"/>
        <w:left w:val="none" w:sz="0" w:space="0" w:color="auto"/>
        <w:bottom w:val="none" w:sz="0" w:space="0" w:color="auto"/>
        <w:right w:val="none" w:sz="0" w:space="0" w:color="auto"/>
      </w:divBdr>
    </w:div>
    <w:div w:id="1020352058">
      <w:bodyDiv w:val="1"/>
      <w:marLeft w:val="0"/>
      <w:marRight w:val="0"/>
      <w:marTop w:val="0"/>
      <w:marBottom w:val="0"/>
      <w:divBdr>
        <w:top w:val="none" w:sz="0" w:space="0" w:color="auto"/>
        <w:left w:val="none" w:sz="0" w:space="0" w:color="auto"/>
        <w:bottom w:val="none" w:sz="0" w:space="0" w:color="auto"/>
        <w:right w:val="none" w:sz="0" w:space="0" w:color="auto"/>
      </w:divBdr>
    </w:div>
    <w:div w:id="1023827824">
      <w:bodyDiv w:val="1"/>
      <w:marLeft w:val="0"/>
      <w:marRight w:val="0"/>
      <w:marTop w:val="0"/>
      <w:marBottom w:val="0"/>
      <w:divBdr>
        <w:top w:val="none" w:sz="0" w:space="0" w:color="auto"/>
        <w:left w:val="none" w:sz="0" w:space="0" w:color="auto"/>
        <w:bottom w:val="none" w:sz="0" w:space="0" w:color="auto"/>
        <w:right w:val="none" w:sz="0" w:space="0" w:color="auto"/>
      </w:divBdr>
    </w:div>
    <w:div w:id="1216547682">
      <w:bodyDiv w:val="1"/>
      <w:marLeft w:val="0"/>
      <w:marRight w:val="0"/>
      <w:marTop w:val="0"/>
      <w:marBottom w:val="0"/>
      <w:divBdr>
        <w:top w:val="none" w:sz="0" w:space="0" w:color="auto"/>
        <w:left w:val="none" w:sz="0" w:space="0" w:color="auto"/>
        <w:bottom w:val="none" w:sz="0" w:space="0" w:color="auto"/>
        <w:right w:val="none" w:sz="0" w:space="0" w:color="auto"/>
      </w:divBdr>
    </w:div>
    <w:div w:id="1223249165">
      <w:bodyDiv w:val="1"/>
      <w:marLeft w:val="0"/>
      <w:marRight w:val="0"/>
      <w:marTop w:val="0"/>
      <w:marBottom w:val="0"/>
      <w:divBdr>
        <w:top w:val="none" w:sz="0" w:space="0" w:color="auto"/>
        <w:left w:val="none" w:sz="0" w:space="0" w:color="auto"/>
        <w:bottom w:val="none" w:sz="0" w:space="0" w:color="auto"/>
        <w:right w:val="none" w:sz="0" w:space="0" w:color="auto"/>
      </w:divBdr>
    </w:div>
    <w:div w:id="1258518783">
      <w:bodyDiv w:val="1"/>
      <w:marLeft w:val="0"/>
      <w:marRight w:val="0"/>
      <w:marTop w:val="0"/>
      <w:marBottom w:val="0"/>
      <w:divBdr>
        <w:top w:val="none" w:sz="0" w:space="0" w:color="auto"/>
        <w:left w:val="none" w:sz="0" w:space="0" w:color="auto"/>
        <w:bottom w:val="none" w:sz="0" w:space="0" w:color="auto"/>
        <w:right w:val="none" w:sz="0" w:space="0" w:color="auto"/>
      </w:divBdr>
    </w:div>
    <w:div w:id="1286960705">
      <w:bodyDiv w:val="1"/>
      <w:marLeft w:val="0"/>
      <w:marRight w:val="0"/>
      <w:marTop w:val="0"/>
      <w:marBottom w:val="0"/>
      <w:divBdr>
        <w:top w:val="none" w:sz="0" w:space="0" w:color="auto"/>
        <w:left w:val="none" w:sz="0" w:space="0" w:color="auto"/>
        <w:bottom w:val="none" w:sz="0" w:space="0" w:color="auto"/>
        <w:right w:val="none" w:sz="0" w:space="0" w:color="auto"/>
      </w:divBdr>
    </w:div>
    <w:div w:id="1348143696">
      <w:bodyDiv w:val="1"/>
      <w:marLeft w:val="0"/>
      <w:marRight w:val="0"/>
      <w:marTop w:val="0"/>
      <w:marBottom w:val="0"/>
      <w:divBdr>
        <w:top w:val="none" w:sz="0" w:space="0" w:color="auto"/>
        <w:left w:val="none" w:sz="0" w:space="0" w:color="auto"/>
        <w:bottom w:val="none" w:sz="0" w:space="0" w:color="auto"/>
        <w:right w:val="none" w:sz="0" w:space="0" w:color="auto"/>
      </w:divBdr>
    </w:div>
    <w:div w:id="1395469493">
      <w:bodyDiv w:val="1"/>
      <w:marLeft w:val="0"/>
      <w:marRight w:val="0"/>
      <w:marTop w:val="0"/>
      <w:marBottom w:val="0"/>
      <w:divBdr>
        <w:top w:val="none" w:sz="0" w:space="0" w:color="auto"/>
        <w:left w:val="none" w:sz="0" w:space="0" w:color="auto"/>
        <w:bottom w:val="none" w:sz="0" w:space="0" w:color="auto"/>
        <w:right w:val="none" w:sz="0" w:space="0" w:color="auto"/>
      </w:divBdr>
    </w:div>
    <w:div w:id="1472595441">
      <w:bodyDiv w:val="1"/>
      <w:marLeft w:val="0"/>
      <w:marRight w:val="0"/>
      <w:marTop w:val="0"/>
      <w:marBottom w:val="0"/>
      <w:divBdr>
        <w:top w:val="none" w:sz="0" w:space="0" w:color="auto"/>
        <w:left w:val="none" w:sz="0" w:space="0" w:color="auto"/>
        <w:bottom w:val="none" w:sz="0" w:space="0" w:color="auto"/>
        <w:right w:val="none" w:sz="0" w:space="0" w:color="auto"/>
      </w:divBdr>
    </w:div>
    <w:div w:id="1519464899">
      <w:bodyDiv w:val="1"/>
      <w:marLeft w:val="0"/>
      <w:marRight w:val="0"/>
      <w:marTop w:val="0"/>
      <w:marBottom w:val="0"/>
      <w:divBdr>
        <w:top w:val="none" w:sz="0" w:space="0" w:color="auto"/>
        <w:left w:val="none" w:sz="0" w:space="0" w:color="auto"/>
        <w:bottom w:val="none" w:sz="0" w:space="0" w:color="auto"/>
        <w:right w:val="none" w:sz="0" w:space="0" w:color="auto"/>
      </w:divBdr>
    </w:div>
    <w:div w:id="1552033077">
      <w:bodyDiv w:val="1"/>
      <w:marLeft w:val="0"/>
      <w:marRight w:val="0"/>
      <w:marTop w:val="0"/>
      <w:marBottom w:val="0"/>
      <w:divBdr>
        <w:top w:val="none" w:sz="0" w:space="0" w:color="auto"/>
        <w:left w:val="none" w:sz="0" w:space="0" w:color="auto"/>
        <w:bottom w:val="none" w:sz="0" w:space="0" w:color="auto"/>
        <w:right w:val="none" w:sz="0" w:space="0" w:color="auto"/>
      </w:divBdr>
    </w:div>
    <w:div w:id="1661228189">
      <w:bodyDiv w:val="1"/>
      <w:marLeft w:val="0"/>
      <w:marRight w:val="0"/>
      <w:marTop w:val="0"/>
      <w:marBottom w:val="0"/>
      <w:divBdr>
        <w:top w:val="none" w:sz="0" w:space="0" w:color="auto"/>
        <w:left w:val="none" w:sz="0" w:space="0" w:color="auto"/>
        <w:bottom w:val="none" w:sz="0" w:space="0" w:color="auto"/>
        <w:right w:val="none" w:sz="0" w:space="0" w:color="auto"/>
      </w:divBdr>
    </w:div>
    <w:div w:id="1849053983">
      <w:bodyDiv w:val="1"/>
      <w:marLeft w:val="0"/>
      <w:marRight w:val="0"/>
      <w:marTop w:val="0"/>
      <w:marBottom w:val="0"/>
      <w:divBdr>
        <w:top w:val="none" w:sz="0" w:space="0" w:color="auto"/>
        <w:left w:val="none" w:sz="0" w:space="0" w:color="auto"/>
        <w:bottom w:val="none" w:sz="0" w:space="0" w:color="auto"/>
        <w:right w:val="none" w:sz="0" w:space="0" w:color="auto"/>
      </w:divBdr>
    </w:div>
    <w:div w:id="1887251846">
      <w:bodyDiv w:val="1"/>
      <w:marLeft w:val="0"/>
      <w:marRight w:val="0"/>
      <w:marTop w:val="0"/>
      <w:marBottom w:val="0"/>
      <w:divBdr>
        <w:top w:val="none" w:sz="0" w:space="0" w:color="auto"/>
        <w:left w:val="none" w:sz="0" w:space="0" w:color="auto"/>
        <w:bottom w:val="none" w:sz="0" w:space="0" w:color="auto"/>
        <w:right w:val="none" w:sz="0" w:space="0" w:color="auto"/>
      </w:divBdr>
    </w:div>
    <w:div w:id="1901668911">
      <w:bodyDiv w:val="1"/>
      <w:marLeft w:val="0"/>
      <w:marRight w:val="0"/>
      <w:marTop w:val="0"/>
      <w:marBottom w:val="0"/>
      <w:divBdr>
        <w:top w:val="none" w:sz="0" w:space="0" w:color="auto"/>
        <w:left w:val="none" w:sz="0" w:space="0" w:color="auto"/>
        <w:bottom w:val="none" w:sz="0" w:space="0" w:color="auto"/>
        <w:right w:val="none" w:sz="0" w:space="0" w:color="auto"/>
      </w:divBdr>
    </w:div>
    <w:div w:id="1945721803">
      <w:bodyDiv w:val="1"/>
      <w:marLeft w:val="0"/>
      <w:marRight w:val="0"/>
      <w:marTop w:val="0"/>
      <w:marBottom w:val="0"/>
      <w:divBdr>
        <w:top w:val="none" w:sz="0" w:space="0" w:color="auto"/>
        <w:left w:val="none" w:sz="0" w:space="0" w:color="auto"/>
        <w:bottom w:val="none" w:sz="0" w:space="0" w:color="auto"/>
        <w:right w:val="none" w:sz="0" w:space="0" w:color="auto"/>
      </w:divBdr>
    </w:div>
    <w:div w:id="2001083389">
      <w:bodyDiv w:val="1"/>
      <w:marLeft w:val="0"/>
      <w:marRight w:val="0"/>
      <w:marTop w:val="0"/>
      <w:marBottom w:val="0"/>
      <w:divBdr>
        <w:top w:val="none" w:sz="0" w:space="0" w:color="auto"/>
        <w:left w:val="none" w:sz="0" w:space="0" w:color="auto"/>
        <w:bottom w:val="none" w:sz="0" w:space="0" w:color="auto"/>
        <w:right w:val="none" w:sz="0" w:space="0" w:color="auto"/>
      </w:divBdr>
    </w:div>
    <w:div w:id="21100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2670</TotalTime>
  <Pages>5</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Ssebaale</dc:creator>
  <cp:keywords/>
  <dc:description/>
  <cp:lastModifiedBy>Agatha Ais</cp:lastModifiedBy>
  <cp:revision>12</cp:revision>
  <dcterms:created xsi:type="dcterms:W3CDTF">2025-03-01T14:27:00Z</dcterms:created>
  <dcterms:modified xsi:type="dcterms:W3CDTF">2026-03-12T08:38:00Z</dcterms:modified>
</cp:coreProperties>
</file>