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C2" w:rsidRPr="005E1020" w:rsidRDefault="004C5BC2" w:rsidP="005E1020">
      <w:pPr>
        <w:jc w:val="both"/>
        <w:rPr>
          <w:rFonts w:ascii="Tahoma" w:hAnsi="Tahoma" w:cs="Tahoma"/>
          <w:b/>
          <w:sz w:val="24"/>
        </w:rPr>
      </w:pPr>
      <w:r w:rsidRPr="005E1020">
        <w:rPr>
          <w:rFonts w:ascii="Tahoma" w:hAnsi="Tahoma" w:cs="Tahoma"/>
          <w:b/>
          <w:sz w:val="24"/>
        </w:rPr>
        <w:t>The Loan/credit Policy</w:t>
      </w:r>
    </w:p>
    <w:p w:rsidR="004C5BC2" w:rsidRPr="005E1020" w:rsidRDefault="004C5BC2" w:rsidP="005E1020">
      <w:pPr>
        <w:jc w:val="both"/>
        <w:rPr>
          <w:rFonts w:ascii="Tahoma" w:hAnsi="Tahoma" w:cs="Tahoma"/>
          <w:sz w:val="24"/>
        </w:rPr>
      </w:pPr>
    </w:p>
    <w:p w:rsidR="004C5BC2" w:rsidRPr="005E1020" w:rsidRDefault="004C5BC2" w:rsidP="005E1020">
      <w:pPr>
        <w:jc w:val="both"/>
        <w:rPr>
          <w:rFonts w:ascii="Tahoma" w:hAnsi="Tahoma" w:cs="Tahoma"/>
          <w:sz w:val="24"/>
        </w:rPr>
      </w:pPr>
      <w:r w:rsidRPr="005E1020">
        <w:rPr>
          <w:rFonts w:ascii="Tahoma" w:hAnsi="Tahoma" w:cs="Tahoma"/>
          <w:sz w:val="24"/>
        </w:rPr>
        <w:t xml:space="preserve">The loan policy is the primary means by which senior management and the board guide lending activities. Although the policy primarily imposes standards, it also is a statement of the bank’s basic credit philosophy. </w:t>
      </w:r>
    </w:p>
    <w:p w:rsidR="004C5BC2" w:rsidRPr="005E1020" w:rsidRDefault="004C5BC2" w:rsidP="005E1020">
      <w:pPr>
        <w:jc w:val="both"/>
        <w:rPr>
          <w:rFonts w:ascii="Tahoma" w:hAnsi="Tahoma" w:cs="Tahoma"/>
          <w:sz w:val="24"/>
        </w:rPr>
      </w:pPr>
      <w:r w:rsidRPr="005E1020">
        <w:rPr>
          <w:rFonts w:ascii="Tahoma" w:hAnsi="Tahoma" w:cs="Tahoma"/>
          <w:sz w:val="24"/>
        </w:rPr>
        <w:t xml:space="preserve">It provides a framework for achieving asset quality and earnings objectives, </w:t>
      </w:r>
    </w:p>
    <w:p w:rsidR="004C5BC2" w:rsidRPr="005E1020" w:rsidRDefault="004C5BC2" w:rsidP="005E1020">
      <w:pPr>
        <w:jc w:val="both"/>
        <w:rPr>
          <w:rFonts w:ascii="Tahoma" w:hAnsi="Tahoma" w:cs="Tahoma"/>
          <w:sz w:val="24"/>
        </w:rPr>
      </w:pPr>
      <w:r w:rsidRPr="005E1020">
        <w:rPr>
          <w:rFonts w:ascii="Tahoma" w:hAnsi="Tahoma" w:cs="Tahoma"/>
          <w:sz w:val="24"/>
        </w:rPr>
        <w:t xml:space="preserve">Sets risk tolerance levels, and </w:t>
      </w:r>
    </w:p>
    <w:p w:rsidR="004C5BC2" w:rsidRPr="005E1020" w:rsidRDefault="004C5BC2" w:rsidP="005E1020">
      <w:pPr>
        <w:jc w:val="both"/>
        <w:rPr>
          <w:rFonts w:ascii="Tahoma" w:hAnsi="Tahoma" w:cs="Tahoma"/>
          <w:sz w:val="24"/>
        </w:rPr>
      </w:pPr>
      <w:r w:rsidRPr="005E1020">
        <w:rPr>
          <w:rFonts w:ascii="Tahoma" w:hAnsi="Tahoma" w:cs="Tahoma"/>
          <w:sz w:val="24"/>
        </w:rPr>
        <w:t xml:space="preserve">guides the bank’s lending activities in a manner consistent with the bank’s strategic direction. </w:t>
      </w:r>
    </w:p>
    <w:p w:rsidR="004C5BC2" w:rsidRPr="005E1020" w:rsidRDefault="004C5BC2" w:rsidP="005E1020">
      <w:pPr>
        <w:jc w:val="both"/>
        <w:rPr>
          <w:rFonts w:ascii="Tahoma" w:hAnsi="Tahoma" w:cs="Tahoma"/>
          <w:sz w:val="24"/>
        </w:rPr>
      </w:pPr>
      <w:r w:rsidRPr="005E1020">
        <w:rPr>
          <w:rFonts w:ascii="Tahoma" w:hAnsi="Tahoma" w:cs="Tahoma"/>
          <w:sz w:val="24"/>
        </w:rPr>
        <w:t>Loan policy sets standards for portfolio composition, individual credit decisions, fair lending, and compliance management.</w:t>
      </w:r>
    </w:p>
    <w:p w:rsidR="004C5BC2" w:rsidRPr="005E1020" w:rsidRDefault="004C5BC2" w:rsidP="005E1020">
      <w:pPr>
        <w:jc w:val="both"/>
        <w:rPr>
          <w:rFonts w:ascii="Tahoma" w:hAnsi="Tahoma" w:cs="Tahoma"/>
          <w:b/>
          <w:sz w:val="24"/>
        </w:rPr>
      </w:pPr>
      <w:r w:rsidRPr="005E1020">
        <w:rPr>
          <w:rFonts w:ascii="Tahoma" w:hAnsi="Tahoma" w:cs="Tahoma"/>
          <w:b/>
          <w:sz w:val="24"/>
        </w:rPr>
        <w:t>Elements/ components of a Loan/credit Policy</w:t>
      </w:r>
    </w:p>
    <w:p w:rsidR="004C5BC2" w:rsidRPr="005E1020" w:rsidRDefault="004C5BC2" w:rsidP="005E1020">
      <w:pPr>
        <w:jc w:val="both"/>
        <w:rPr>
          <w:rFonts w:ascii="Tahoma" w:hAnsi="Tahoma" w:cs="Tahoma"/>
          <w:sz w:val="24"/>
        </w:rPr>
      </w:pPr>
      <w:r w:rsidRPr="005E1020">
        <w:rPr>
          <w:rFonts w:ascii="Tahoma" w:hAnsi="Tahoma" w:cs="Tahoma"/>
          <w:sz w:val="24"/>
        </w:rPr>
        <w:t>The elements of a loan policy are determined by the specific lending</w:t>
      </w:r>
      <w:r w:rsidRPr="005E1020">
        <w:rPr>
          <w:rFonts w:ascii="Tahoma" w:hAnsi="Tahoma" w:cs="Tahoma"/>
          <w:sz w:val="24"/>
        </w:rPr>
        <w:t xml:space="preserve"> </w:t>
      </w:r>
      <w:r w:rsidRPr="005E1020">
        <w:rPr>
          <w:rFonts w:ascii="Tahoma" w:hAnsi="Tahoma" w:cs="Tahoma"/>
          <w:sz w:val="24"/>
        </w:rPr>
        <w:t>activities and standards of each bank. However, most loan policies discuss</w:t>
      </w:r>
      <w:r w:rsidRPr="005E1020">
        <w:rPr>
          <w:rFonts w:ascii="Tahoma" w:hAnsi="Tahoma" w:cs="Tahoma"/>
          <w:sz w:val="24"/>
        </w:rPr>
        <w:t xml:space="preserve"> </w:t>
      </w:r>
      <w:r w:rsidRPr="005E1020">
        <w:rPr>
          <w:rFonts w:ascii="Tahoma" w:hAnsi="Tahoma" w:cs="Tahoma"/>
          <w:sz w:val="24"/>
        </w:rPr>
        <w:t>the topics below.</w:t>
      </w:r>
    </w:p>
    <w:p w:rsidR="004C5BC2" w:rsidRPr="005E1020" w:rsidRDefault="004C5BC2" w:rsidP="005E1020">
      <w:pPr>
        <w:jc w:val="both"/>
        <w:rPr>
          <w:rFonts w:ascii="Tahoma" w:hAnsi="Tahoma" w:cs="Tahoma"/>
          <w:sz w:val="24"/>
        </w:rPr>
      </w:pPr>
      <w:r w:rsidRPr="005E1020">
        <w:rPr>
          <w:rFonts w:ascii="Tahoma" w:hAnsi="Tahoma" w:cs="Tahoma"/>
          <w:b/>
          <w:sz w:val="24"/>
        </w:rPr>
        <w:t>Loan Authority:</w:t>
      </w:r>
      <w:r w:rsidRPr="005E1020">
        <w:rPr>
          <w:rFonts w:ascii="Tahoma" w:hAnsi="Tahoma" w:cs="Tahoma"/>
          <w:sz w:val="24"/>
        </w:rPr>
        <w:t xml:space="preserve"> The lending policy describe</w:t>
      </w:r>
      <w:r w:rsidRPr="005E1020">
        <w:rPr>
          <w:rFonts w:ascii="Tahoma" w:hAnsi="Tahoma" w:cs="Tahoma"/>
          <w:sz w:val="24"/>
        </w:rPr>
        <w:t>s</w:t>
      </w:r>
      <w:r w:rsidRPr="005E1020">
        <w:rPr>
          <w:rFonts w:ascii="Tahoma" w:hAnsi="Tahoma" w:cs="Tahoma"/>
          <w:sz w:val="24"/>
        </w:rPr>
        <w:t xml:space="preserve"> who is authorized to approve credit and should establish specific approval limits for credit approvers. Lending limits may also be set for a group, allowing a combination of officers or a committee to approve loans larger than the members would be permitted to approve individually. Group approval may include dual controls: one approver from the line business unit and another from credit policy or a different line unit. The policy describe</w:t>
      </w:r>
      <w:r w:rsidRPr="005E1020">
        <w:rPr>
          <w:rFonts w:ascii="Tahoma" w:hAnsi="Tahoma" w:cs="Tahoma"/>
          <w:sz w:val="24"/>
        </w:rPr>
        <w:t>s</w:t>
      </w:r>
      <w:r w:rsidRPr="005E1020">
        <w:rPr>
          <w:rFonts w:ascii="Tahoma" w:hAnsi="Tahoma" w:cs="Tahoma"/>
          <w:sz w:val="24"/>
        </w:rPr>
        <w:t xml:space="preserve"> reporting procedures and the frequency of committee meetings. Loan approval systems need to have sufficient flexibility to respond to unanticipated needs while maintaining adequate controls to prevent unwarranted risk.</w:t>
      </w:r>
    </w:p>
    <w:p w:rsidR="004C5BC2" w:rsidRPr="005E1020" w:rsidRDefault="004C5BC2" w:rsidP="005E1020">
      <w:pPr>
        <w:jc w:val="both"/>
        <w:rPr>
          <w:rFonts w:ascii="Tahoma" w:hAnsi="Tahoma" w:cs="Tahoma"/>
          <w:sz w:val="24"/>
        </w:rPr>
      </w:pPr>
      <w:r w:rsidRPr="005E1020">
        <w:rPr>
          <w:rFonts w:ascii="Tahoma" w:hAnsi="Tahoma" w:cs="Tahoma"/>
          <w:b/>
          <w:sz w:val="24"/>
        </w:rPr>
        <w:t>Limit on Aggregate Loans and Commitments:</w:t>
      </w:r>
      <w:r w:rsidRPr="005E1020">
        <w:rPr>
          <w:rFonts w:ascii="Tahoma" w:hAnsi="Tahoma" w:cs="Tahoma"/>
          <w:sz w:val="24"/>
        </w:rPr>
        <w:t xml:space="preserve"> The loan policy establish</w:t>
      </w:r>
      <w:r w:rsidRPr="005E1020">
        <w:rPr>
          <w:rFonts w:ascii="Tahoma" w:hAnsi="Tahoma" w:cs="Tahoma"/>
          <w:sz w:val="24"/>
        </w:rPr>
        <w:t>es</w:t>
      </w:r>
      <w:r w:rsidRPr="005E1020">
        <w:rPr>
          <w:rFonts w:ascii="Tahoma" w:hAnsi="Tahoma" w:cs="Tahoma"/>
          <w:sz w:val="24"/>
        </w:rPr>
        <w:t xml:space="preserve"> guidelines on the size of the loan portfolio relative to other balance sheet accounts (some banks will cover this topic in the ALCO policy). Limits should be developed for the aggregate volume of outstanding loans as well as for total commitments.</w:t>
      </w:r>
    </w:p>
    <w:p w:rsidR="004C5BC2" w:rsidRPr="005E1020" w:rsidRDefault="004C5BC2" w:rsidP="005E1020">
      <w:pPr>
        <w:jc w:val="both"/>
        <w:rPr>
          <w:rFonts w:ascii="Tahoma" w:hAnsi="Tahoma" w:cs="Tahoma"/>
          <w:sz w:val="24"/>
        </w:rPr>
      </w:pPr>
      <w:r w:rsidRPr="005E1020">
        <w:rPr>
          <w:rFonts w:ascii="Tahoma" w:hAnsi="Tahoma" w:cs="Tahoma"/>
          <w:b/>
          <w:sz w:val="24"/>
        </w:rPr>
        <w:t>Distribution by Loan Category and Product:</w:t>
      </w:r>
      <w:r w:rsidRPr="005E1020">
        <w:rPr>
          <w:rFonts w:ascii="Tahoma" w:hAnsi="Tahoma" w:cs="Tahoma"/>
          <w:sz w:val="24"/>
        </w:rPr>
        <w:t xml:space="preserve"> Policies also establish guidelines on the percentage of total loans that can be allocated to a particular loan category or concentration (e.g., commercial, real estate, consumer, international, and health care). Limits may also be placed on individual loan products within a loan category. For example, although a bank may already limit consumer loans in general, it can also limit installment loans or credit card loans. Loan category and product limits enable a bank to direct the composition of its loan portfolio to achieve strategic objectives rather than deferring to the demands of its market.</w:t>
      </w:r>
    </w:p>
    <w:p w:rsidR="004C5BC2" w:rsidRPr="005E1020" w:rsidRDefault="004C5BC2" w:rsidP="005E1020">
      <w:pPr>
        <w:jc w:val="both"/>
        <w:rPr>
          <w:rFonts w:ascii="Tahoma" w:hAnsi="Tahoma" w:cs="Tahoma"/>
          <w:sz w:val="24"/>
        </w:rPr>
      </w:pPr>
      <w:r w:rsidRPr="005E1020">
        <w:rPr>
          <w:rFonts w:ascii="Tahoma" w:hAnsi="Tahoma" w:cs="Tahoma"/>
          <w:b/>
          <w:sz w:val="24"/>
        </w:rPr>
        <w:lastRenderedPageBreak/>
        <w:t>Geographic Limits:</w:t>
      </w:r>
      <w:r w:rsidRPr="005E1020">
        <w:rPr>
          <w:rFonts w:ascii="Tahoma" w:hAnsi="Tahoma" w:cs="Tahoma"/>
          <w:sz w:val="24"/>
        </w:rPr>
        <w:t xml:space="preserve"> The bank’s geographic market should be identified, including any exceptions or specific restrictions. Geographic limits are consistent with the objective of serving the credit needs of the bank’s community. They also help to ensure that the lending staff can supervise the loan portfolio effectively. Such supervision is especially important for new banks.</w:t>
      </w:r>
    </w:p>
    <w:p w:rsidR="004C5BC2" w:rsidRPr="005E1020" w:rsidRDefault="004C5BC2" w:rsidP="005E1020">
      <w:pPr>
        <w:jc w:val="both"/>
        <w:rPr>
          <w:rFonts w:ascii="Tahoma" w:hAnsi="Tahoma" w:cs="Tahoma"/>
          <w:sz w:val="24"/>
        </w:rPr>
      </w:pPr>
      <w:r w:rsidRPr="005E1020">
        <w:rPr>
          <w:rFonts w:ascii="Tahoma" w:hAnsi="Tahoma" w:cs="Tahoma"/>
          <w:b/>
          <w:sz w:val="24"/>
        </w:rPr>
        <w:t>Types of Loans:</w:t>
      </w:r>
      <w:r w:rsidRPr="005E1020">
        <w:rPr>
          <w:rFonts w:ascii="Tahoma" w:hAnsi="Tahoma" w:cs="Tahoma"/>
          <w:sz w:val="24"/>
        </w:rPr>
        <w:t xml:space="preserve"> The lending policy identi</w:t>
      </w:r>
      <w:r w:rsidRPr="005E1020">
        <w:rPr>
          <w:rFonts w:ascii="Tahoma" w:hAnsi="Tahoma" w:cs="Tahoma"/>
          <w:sz w:val="24"/>
        </w:rPr>
        <w:t>fies</w:t>
      </w:r>
      <w:r w:rsidRPr="005E1020">
        <w:rPr>
          <w:rFonts w:ascii="Tahoma" w:hAnsi="Tahoma" w:cs="Tahoma"/>
          <w:sz w:val="24"/>
        </w:rPr>
        <w:t xml:space="preserve"> specific types of loans that the bank views as desirable or undesirable. For example, many banks do not finance business start-ups, and others avoid loans to gambling concerns. These guidelines should be based on the expertise of the lending staff, anticipated credit demands of the community, and the deposit structure of the bank. Real estate and other types of term lending, for example, might be limited to a given percentage of the bank’s stable funds. Sophisticated credits and loans secured by collateral that requires inordinate policing should be avoided unless the bank has the personnel and resources to properly analyze and administer them. The lending policy can be used to control or avoid specific types of loans that have resulted in abnormal losses to the bank or that the bank considers undesirable.</w:t>
      </w:r>
    </w:p>
    <w:p w:rsidR="004C5BC2" w:rsidRPr="005E1020" w:rsidRDefault="004C5BC2" w:rsidP="005E1020">
      <w:pPr>
        <w:jc w:val="both"/>
        <w:rPr>
          <w:rFonts w:ascii="Tahoma" w:hAnsi="Tahoma" w:cs="Tahoma"/>
          <w:sz w:val="24"/>
        </w:rPr>
      </w:pPr>
      <w:r w:rsidRPr="005E1020">
        <w:rPr>
          <w:rFonts w:ascii="Tahoma" w:hAnsi="Tahoma" w:cs="Tahoma"/>
          <w:b/>
          <w:sz w:val="24"/>
        </w:rPr>
        <w:t>Financial performance standards:</w:t>
      </w:r>
      <w:r w:rsidRPr="005E1020">
        <w:rPr>
          <w:rFonts w:ascii="Tahoma" w:hAnsi="Tahoma" w:cs="Tahoma"/>
          <w:sz w:val="24"/>
        </w:rPr>
        <w:t xml:space="preserve"> Financial performance standards usually are based on the purpose and type of loan. At a minimum, the policy should establish repayment requirements that stipulate acceptable primary and secondary sources of repayment, their relative adequacy, and circumstances in which guarantors are required. The policy may also Loan Portfolio Management 74 Comptroller’s Handbook require a certain minimum working capital, customer size, external agency credit rating, access to financial markets, leverage, and debt service coverage ratio.</w:t>
      </w:r>
    </w:p>
    <w:p w:rsidR="004C5BC2" w:rsidRPr="005E1020" w:rsidRDefault="004C5BC2" w:rsidP="005E1020">
      <w:pPr>
        <w:jc w:val="both"/>
        <w:rPr>
          <w:rFonts w:ascii="Tahoma" w:hAnsi="Tahoma" w:cs="Tahoma"/>
          <w:sz w:val="24"/>
        </w:rPr>
      </w:pPr>
      <w:r w:rsidRPr="005E1020">
        <w:rPr>
          <w:rFonts w:ascii="Tahoma" w:hAnsi="Tahoma" w:cs="Tahoma"/>
          <w:b/>
          <w:sz w:val="24"/>
        </w:rPr>
        <w:t>Financial information:</w:t>
      </w:r>
      <w:r w:rsidRPr="005E1020">
        <w:rPr>
          <w:rFonts w:ascii="Tahoma" w:hAnsi="Tahoma" w:cs="Tahoma"/>
          <w:sz w:val="24"/>
        </w:rPr>
        <w:t xml:space="preserve"> </w:t>
      </w:r>
      <w:r w:rsidRPr="005E1020">
        <w:rPr>
          <w:rFonts w:ascii="Tahoma" w:hAnsi="Tahoma" w:cs="Tahoma"/>
          <w:sz w:val="24"/>
        </w:rPr>
        <w:t xml:space="preserve">the loan policy </w:t>
      </w:r>
      <w:r w:rsidRPr="005E1020">
        <w:rPr>
          <w:rFonts w:ascii="Tahoma" w:hAnsi="Tahoma" w:cs="Tahoma"/>
          <w:sz w:val="24"/>
        </w:rPr>
        <w:t>stipulate</w:t>
      </w:r>
      <w:r w:rsidRPr="005E1020">
        <w:rPr>
          <w:rFonts w:ascii="Tahoma" w:hAnsi="Tahoma" w:cs="Tahoma"/>
          <w:sz w:val="24"/>
        </w:rPr>
        <w:t>s</w:t>
      </w:r>
      <w:r w:rsidRPr="005E1020">
        <w:rPr>
          <w:rFonts w:ascii="Tahoma" w:hAnsi="Tahoma" w:cs="Tahoma"/>
          <w:sz w:val="24"/>
        </w:rPr>
        <w:t xml:space="preserve"> what types of financial information are required and how frequently they are to be provided. The lending policy should define the financial statement requirements for businesses and individuals at various borrowing levels and set guidelines for audited, unaudited, fiscal, interim, operating, cash flow, guarantor, projections, and other types of statements. For example, audited financial statements might be required annually on all borrowers whose loans are greater than a certain amount.</w:t>
      </w:r>
    </w:p>
    <w:p w:rsidR="005E1020" w:rsidRPr="005E1020" w:rsidRDefault="005E1020" w:rsidP="005E1020">
      <w:pPr>
        <w:jc w:val="both"/>
        <w:rPr>
          <w:rFonts w:ascii="Tahoma" w:hAnsi="Tahoma" w:cs="Tahoma"/>
          <w:sz w:val="24"/>
        </w:rPr>
      </w:pPr>
      <w:r w:rsidRPr="005E1020">
        <w:rPr>
          <w:rFonts w:ascii="Tahoma" w:hAnsi="Tahoma" w:cs="Tahoma"/>
          <w:b/>
          <w:sz w:val="24"/>
        </w:rPr>
        <w:t>Collateral and structure requirements:</w:t>
      </w:r>
      <w:r w:rsidRPr="005E1020">
        <w:rPr>
          <w:rFonts w:ascii="Tahoma" w:hAnsi="Tahoma" w:cs="Tahoma"/>
          <w:sz w:val="24"/>
        </w:rPr>
        <w:t xml:space="preserve"> </w:t>
      </w:r>
      <w:r w:rsidRPr="005E1020">
        <w:rPr>
          <w:rFonts w:ascii="Tahoma" w:hAnsi="Tahoma" w:cs="Tahoma"/>
          <w:sz w:val="24"/>
        </w:rPr>
        <w:t>Policies usually describe acceptable credit structures and establish permissible collateral types and loan-to-value limits. They also establish limits for the amount financed, which may vary by loan type. For instance, the policy might limit loans to finance the purchase of equipment to 80 percent of purchase price and might limit the amortization schedule of such loans to the lesser of five years or the useful life of the equipment.</w:t>
      </w:r>
    </w:p>
    <w:p w:rsidR="005E1020" w:rsidRPr="005E1020" w:rsidRDefault="005E1020" w:rsidP="005E1020">
      <w:pPr>
        <w:jc w:val="both"/>
        <w:rPr>
          <w:rFonts w:ascii="Tahoma" w:hAnsi="Tahoma" w:cs="Tahoma"/>
          <w:sz w:val="24"/>
        </w:rPr>
      </w:pPr>
      <w:r w:rsidRPr="005E1020">
        <w:rPr>
          <w:rFonts w:ascii="Tahoma" w:hAnsi="Tahoma" w:cs="Tahoma"/>
          <w:b/>
          <w:sz w:val="24"/>
        </w:rPr>
        <w:t>Pricing Guidelines:</w:t>
      </w:r>
      <w:r w:rsidRPr="005E1020">
        <w:rPr>
          <w:rFonts w:ascii="Tahoma" w:hAnsi="Tahoma" w:cs="Tahoma"/>
          <w:sz w:val="24"/>
        </w:rPr>
        <w:t xml:space="preserve"> Policies generally describe loan pricing principles. Interest rates and fees should be set at a level that covers the bank’s cost of funds and overhead, and </w:t>
      </w:r>
      <w:r w:rsidRPr="005E1020">
        <w:rPr>
          <w:rFonts w:ascii="Tahoma" w:hAnsi="Tahoma" w:cs="Tahoma"/>
          <w:sz w:val="24"/>
        </w:rPr>
        <w:lastRenderedPageBreak/>
        <w:t>provides the bank with an acceptable return. In setting profit goals, management should consider the risk/reward relationship.</w:t>
      </w:r>
    </w:p>
    <w:p w:rsidR="005E1020" w:rsidRPr="005E1020" w:rsidRDefault="005E1020" w:rsidP="005E1020">
      <w:pPr>
        <w:jc w:val="both"/>
        <w:rPr>
          <w:rFonts w:ascii="Tahoma" w:hAnsi="Tahoma" w:cs="Tahoma"/>
          <w:sz w:val="24"/>
        </w:rPr>
      </w:pPr>
      <w:r w:rsidRPr="005E1020">
        <w:rPr>
          <w:rFonts w:ascii="Tahoma" w:hAnsi="Tahoma" w:cs="Tahoma"/>
          <w:b/>
          <w:sz w:val="24"/>
        </w:rPr>
        <w:t xml:space="preserve">Documentation Standards: </w:t>
      </w:r>
      <w:r w:rsidRPr="005E1020">
        <w:rPr>
          <w:rFonts w:ascii="Tahoma" w:hAnsi="Tahoma" w:cs="Tahoma"/>
          <w:sz w:val="24"/>
        </w:rPr>
        <w:t>Policies should establish guidelines for the internal and legal documents on various types loans. Internal documents include such items as borrowing resolutions, credit memoranda, financial analysis, appraisals, insurance, and processing documents; common legal documents are mortgages, security agreements</w:t>
      </w:r>
      <w:r w:rsidRPr="005E1020">
        <w:rPr>
          <w:rFonts w:ascii="Tahoma" w:hAnsi="Tahoma" w:cs="Tahoma"/>
          <w:sz w:val="24"/>
        </w:rPr>
        <w:t>.</w:t>
      </w:r>
    </w:p>
    <w:p w:rsidR="005E1020" w:rsidRPr="005E1020" w:rsidRDefault="005E1020" w:rsidP="005E1020">
      <w:pPr>
        <w:jc w:val="both"/>
        <w:rPr>
          <w:rFonts w:ascii="Tahoma" w:hAnsi="Tahoma" w:cs="Tahoma"/>
          <w:sz w:val="24"/>
        </w:rPr>
      </w:pPr>
      <w:r w:rsidRPr="005E1020">
        <w:rPr>
          <w:rFonts w:ascii="Tahoma" w:hAnsi="Tahoma" w:cs="Tahoma"/>
          <w:b/>
          <w:sz w:val="24"/>
        </w:rPr>
        <w:t>Collections and Charge-Offs:</w:t>
      </w:r>
      <w:r w:rsidRPr="005E1020">
        <w:rPr>
          <w:rFonts w:ascii="Tahoma" w:hAnsi="Tahoma" w:cs="Tahoma"/>
          <w:sz w:val="24"/>
        </w:rPr>
        <w:t xml:space="preserve"> The lending policy should require a systematic collection process that grows more aggressive as the risk of loss increases. Guidelines should specify charge-off requirements.</w:t>
      </w:r>
    </w:p>
    <w:p w:rsidR="005E1020" w:rsidRPr="005E1020" w:rsidRDefault="005E1020" w:rsidP="005E1020">
      <w:pPr>
        <w:jc w:val="both"/>
        <w:rPr>
          <w:rFonts w:ascii="Tahoma" w:hAnsi="Tahoma" w:cs="Tahoma"/>
          <w:sz w:val="24"/>
        </w:rPr>
      </w:pPr>
      <w:r w:rsidRPr="005E1020">
        <w:rPr>
          <w:rFonts w:ascii="Tahoma" w:hAnsi="Tahoma" w:cs="Tahoma"/>
          <w:b/>
          <w:sz w:val="24"/>
        </w:rPr>
        <w:t>Reporting:</w:t>
      </w:r>
      <w:r w:rsidRPr="005E1020">
        <w:rPr>
          <w:rFonts w:ascii="Tahoma" w:hAnsi="Tahoma" w:cs="Tahoma"/>
          <w:sz w:val="24"/>
        </w:rPr>
        <w:t xml:space="preserve"> The lending policy may describe the types, contents, and frequency of reports provided to senior management and the board of directors. Common management reports include summaries of the level and trends of loans that are delinquent, nonaccrual, nonperforming, or charged off. It should also include reports on portfolio composition such as concentrations and policy exceptions. Reports on larger problem credits should include information on the level of risk, loss potential, and alternative courses of action.</w:t>
      </w:r>
    </w:p>
    <w:p w:rsidR="005E1020" w:rsidRPr="005E1020" w:rsidRDefault="005E1020" w:rsidP="005E1020">
      <w:pPr>
        <w:jc w:val="both"/>
        <w:rPr>
          <w:rFonts w:ascii="Tahoma" w:hAnsi="Tahoma" w:cs="Tahoma"/>
          <w:sz w:val="24"/>
        </w:rPr>
      </w:pPr>
      <w:bookmarkStart w:id="0" w:name="_GoBack"/>
      <w:r w:rsidRPr="005E1020">
        <w:rPr>
          <w:rFonts w:ascii="Tahoma" w:hAnsi="Tahoma" w:cs="Tahoma"/>
          <w:b/>
          <w:sz w:val="24"/>
        </w:rPr>
        <w:t>Off-Balance-Sheet Exposure:</w:t>
      </w:r>
      <w:r w:rsidRPr="005E1020">
        <w:rPr>
          <w:rFonts w:ascii="Tahoma" w:hAnsi="Tahoma" w:cs="Tahoma"/>
          <w:sz w:val="24"/>
        </w:rPr>
        <w:t xml:space="preserve"> </w:t>
      </w:r>
      <w:bookmarkEnd w:id="0"/>
      <w:r w:rsidRPr="005E1020">
        <w:rPr>
          <w:rFonts w:ascii="Tahoma" w:hAnsi="Tahoma" w:cs="Tahoma"/>
          <w:sz w:val="24"/>
        </w:rPr>
        <w:t>With the increase in bank securitization activity and the proliferation of capital markets products, more and more Loan Portfolio Management 77 Comptroller’s Handbook credit risk is housed off the balance sheet. Traditionally, off-balance-sheet credit risk has come primarily from loan commitments and letters of credit. The credit risk in these products is fairly straightforward, albeit there is always a measure of uncertainty about whether the facility will be drawn. The credit risk inherent in the capital markets products is more difficult to quantify because of the need to assign a credit risk equivalent.</w:t>
      </w:r>
      <w:r w:rsidRPr="005E1020">
        <w:rPr>
          <w:rFonts w:ascii="Tahoma" w:hAnsi="Tahoma" w:cs="Tahoma"/>
          <w:sz w:val="24"/>
        </w:rPr>
        <w:t xml:space="preserve"> </w:t>
      </w:r>
      <w:r w:rsidRPr="005E1020">
        <w:rPr>
          <w:rFonts w:ascii="Tahoma" w:hAnsi="Tahoma" w:cs="Tahoma"/>
          <w:sz w:val="24"/>
        </w:rPr>
        <w:t>The loan policy should require that off-balance-sheet and any other indirect exposure is included in exposure limits and subject to periodic review and renewal as part of the loan approval process.</w:t>
      </w:r>
    </w:p>
    <w:p w:rsidR="005E1020" w:rsidRPr="005E1020" w:rsidRDefault="005E1020" w:rsidP="005E1020">
      <w:pPr>
        <w:jc w:val="both"/>
        <w:rPr>
          <w:rFonts w:ascii="Tahoma" w:hAnsi="Tahoma" w:cs="Tahoma"/>
          <w:sz w:val="24"/>
        </w:rPr>
      </w:pPr>
    </w:p>
    <w:sectPr w:rsidR="005E1020" w:rsidRPr="005E1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C2"/>
    <w:rsid w:val="004C5BC2"/>
    <w:rsid w:val="005E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5E3A"/>
  <w15:chartTrackingRefBased/>
  <w15:docId w15:val="{D6A54AFD-8F17-4765-A018-BD9C9050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08649">
      <w:bodyDiv w:val="1"/>
      <w:marLeft w:val="0"/>
      <w:marRight w:val="0"/>
      <w:marTop w:val="0"/>
      <w:marBottom w:val="0"/>
      <w:divBdr>
        <w:top w:val="none" w:sz="0" w:space="0" w:color="auto"/>
        <w:left w:val="none" w:sz="0" w:space="0" w:color="auto"/>
        <w:bottom w:val="none" w:sz="0" w:space="0" w:color="auto"/>
        <w:right w:val="none" w:sz="0" w:space="0" w:color="auto"/>
      </w:divBdr>
      <w:divsChild>
        <w:div w:id="1725831509">
          <w:marLeft w:val="547"/>
          <w:marRight w:val="0"/>
          <w:marTop w:val="200"/>
          <w:marBottom w:val="0"/>
          <w:divBdr>
            <w:top w:val="none" w:sz="0" w:space="0" w:color="auto"/>
            <w:left w:val="none" w:sz="0" w:space="0" w:color="auto"/>
            <w:bottom w:val="none" w:sz="0" w:space="0" w:color="auto"/>
            <w:right w:val="none" w:sz="0" w:space="0" w:color="auto"/>
          </w:divBdr>
        </w:div>
        <w:div w:id="448160787">
          <w:marLeft w:val="547"/>
          <w:marRight w:val="0"/>
          <w:marTop w:val="200"/>
          <w:marBottom w:val="0"/>
          <w:divBdr>
            <w:top w:val="none" w:sz="0" w:space="0" w:color="auto"/>
            <w:left w:val="none" w:sz="0" w:space="0" w:color="auto"/>
            <w:bottom w:val="none" w:sz="0" w:space="0" w:color="auto"/>
            <w:right w:val="none" w:sz="0" w:space="0" w:color="auto"/>
          </w:divBdr>
        </w:div>
        <w:div w:id="1682003373">
          <w:marLeft w:val="547"/>
          <w:marRight w:val="0"/>
          <w:marTop w:val="200"/>
          <w:marBottom w:val="0"/>
          <w:divBdr>
            <w:top w:val="none" w:sz="0" w:space="0" w:color="auto"/>
            <w:left w:val="none" w:sz="0" w:space="0" w:color="auto"/>
            <w:bottom w:val="none" w:sz="0" w:space="0" w:color="auto"/>
            <w:right w:val="none" w:sz="0" w:space="0" w:color="auto"/>
          </w:divBdr>
        </w:div>
        <w:div w:id="1077051107">
          <w:marLeft w:val="547"/>
          <w:marRight w:val="0"/>
          <w:marTop w:val="200"/>
          <w:marBottom w:val="0"/>
          <w:divBdr>
            <w:top w:val="none" w:sz="0" w:space="0" w:color="auto"/>
            <w:left w:val="none" w:sz="0" w:space="0" w:color="auto"/>
            <w:bottom w:val="none" w:sz="0" w:space="0" w:color="auto"/>
            <w:right w:val="none" w:sz="0" w:space="0" w:color="auto"/>
          </w:divBdr>
        </w:div>
        <w:div w:id="1818837541">
          <w:marLeft w:val="547"/>
          <w:marRight w:val="0"/>
          <w:marTop w:val="200"/>
          <w:marBottom w:val="0"/>
          <w:divBdr>
            <w:top w:val="none" w:sz="0" w:space="0" w:color="auto"/>
            <w:left w:val="none" w:sz="0" w:space="0" w:color="auto"/>
            <w:bottom w:val="none" w:sz="0" w:space="0" w:color="auto"/>
            <w:right w:val="none" w:sz="0" w:space="0" w:color="auto"/>
          </w:divBdr>
        </w:div>
        <w:div w:id="156213335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2025-09-05T06:51:00Z</dcterms:created>
  <dcterms:modified xsi:type="dcterms:W3CDTF">2025-09-05T07:08:00Z</dcterms:modified>
</cp:coreProperties>
</file>