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284B7" w14:textId="77777777" w:rsidR="007D47C7" w:rsidRPr="00EB7D66" w:rsidRDefault="007D47C7" w:rsidP="007D47C7">
      <w:pPr>
        <w:ind w:left="57"/>
        <w:jc w:val="center"/>
        <w:rPr>
          <w:rFonts w:ascii="Arial Narrow" w:hAnsi="Arial Narrow"/>
          <w:b/>
          <w:sz w:val="22"/>
          <w:szCs w:val="22"/>
        </w:rPr>
      </w:pPr>
      <w:r w:rsidRPr="00EB7D66">
        <w:rPr>
          <w:rFonts w:ascii="Arial Narrow" w:hAnsi="Arial Narrow"/>
          <w:b/>
          <w:sz w:val="22"/>
          <w:szCs w:val="22"/>
        </w:rPr>
        <w:t>MAKERERE UNIVERSITY BUSINESS SCHOOL</w:t>
      </w:r>
    </w:p>
    <w:p w14:paraId="6BCA5FC8" w14:textId="77777777" w:rsidR="007D47C7" w:rsidRPr="00EB7D66" w:rsidRDefault="007D47C7" w:rsidP="007D47C7">
      <w:pPr>
        <w:ind w:left="57"/>
        <w:jc w:val="center"/>
        <w:rPr>
          <w:rFonts w:ascii="Arial Narrow" w:hAnsi="Arial Narrow"/>
          <w:b/>
          <w:sz w:val="22"/>
          <w:szCs w:val="22"/>
        </w:rPr>
      </w:pPr>
      <w:r w:rsidRPr="00EB7D66">
        <w:rPr>
          <w:rFonts w:ascii="Arial Narrow" w:hAnsi="Arial Narrow"/>
          <w:b/>
          <w:sz w:val="22"/>
          <w:szCs w:val="22"/>
        </w:rPr>
        <w:t>FACULTY OF COMMERCE</w:t>
      </w:r>
    </w:p>
    <w:p w14:paraId="4DC96CDF" w14:textId="77777777" w:rsidR="007D47C7" w:rsidRPr="00EB7D66" w:rsidRDefault="007D47C7" w:rsidP="007D47C7">
      <w:pPr>
        <w:ind w:left="57"/>
        <w:jc w:val="center"/>
        <w:rPr>
          <w:rFonts w:ascii="Arial Narrow" w:hAnsi="Arial Narrow"/>
          <w:b/>
          <w:sz w:val="22"/>
          <w:szCs w:val="22"/>
        </w:rPr>
      </w:pPr>
      <w:r w:rsidRPr="00EB7D66">
        <w:rPr>
          <w:rFonts w:ascii="Arial Narrow" w:hAnsi="Arial Narrow"/>
          <w:b/>
          <w:sz w:val="22"/>
          <w:szCs w:val="22"/>
        </w:rPr>
        <w:t>DEPARTMENT OF ACCOUNTING</w:t>
      </w:r>
    </w:p>
    <w:p w14:paraId="43629289" w14:textId="77777777" w:rsidR="007D47C7" w:rsidRPr="00EB7D66" w:rsidRDefault="007D47C7" w:rsidP="007D47C7">
      <w:pPr>
        <w:ind w:left="57"/>
        <w:jc w:val="center"/>
        <w:rPr>
          <w:rFonts w:ascii="Arial Narrow" w:hAnsi="Arial Narrow"/>
          <w:b/>
          <w:sz w:val="22"/>
          <w:szCs w:val="22"/>
        </w:rPr>
      </w:pPr>
      <w:r w:rsidRPr="00EB7D66">
        <w:rPr>
          <w:rFonts w:ascii="Arial Narrow" w:hAnsi="Arial Narrow"/>
          <w:b/>
          <w:sz w:val="22"/>
          <w:szCs w:val="22"/>
        </w:rPr>
        <w:t xml:space="preserve">BACHELOR OF </w:t>
      </w:r>
      <w:r>
        <w:rPr>
          <w:rFonts w:ascii="Arial Narrow" w:hAnsi="Arial Narrow"/>
          <w:b/>
          <w:sz w:val="22"/>
          <w:szCs w:val="22"/>
        </w:rPr>
        <w:t xml:space="preserve">BUSINESS ADMINISTRATION </w:t>
      </w:r>
    </w:p>
    <w:p w14:paraId="379C5E59" w14:textId="77777777" w:rsidR="007D47C7" w:rsidRPr="00EB7D66" w:rsidRDefault="007D47C7" w:rsidP="007D47C7">
      <w:pPr>
        <w:ind w:left="57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B7D66">
        <w:rPr>
          <w:rFonts w:ascii="Arial Narrow" w:hAnsi="Arial Narrow"/>
          <w:b/>
          <w:sz w:val="22"/>
          <w:szCs w:val="22"/>
          <w:u w:val="single"/>
        </w:rPr>
        <w:t xml:space="preserve">COURSE OUTLINE </w:t>
      </w:r>
      <w:r w:rsidRPr="007D47C7">
        <w:rPr>
          <w:rFonts w:ascii="Arial Narrow" w:hAnsi="Arial Narrow"/>
          <w:sz w:val="22"/>
          <w:szCs w:val="22"/>
          <w:u w:val="single"/>
        </w:rPr>
        <w:t xml:space="preserve">FOR </w:t>
      </w:r>
      <w:r w:rsidRPr="007D47C7">
        <w:rPr>
          <w:color w:val="000000"/>
          <w:spacing w:val="-2"/>
          <w:u w:val="single"/>
        </w:rPr>
        <w:t>INTERPRETING FINANCIAL ACCOUNTING INFORMATION</w:t>
      </w:r>
      <w:r w:rsidRPr="00C41C27">
        <w:rPr>
          <w:color w:val="000000"/>
          <w:spacing w:val="-2"/>
        </w:rPr>
        <w:t xml:space="preserve">  </w:t>
      </w:r>
    </w:p>
    <w:p w14:paraId="04DC483D" w14:textId="77777777" w:rsidR="007D47C7" w:rsidRPr="00EB7D66" w:rsidRDefault="007D47C7" w:rsidP="007D47C7">
      <w:pPr>
        <w:ind w:left="57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11CBFFB7" w14:textId="77777777" w:rsidR="007D47C7" w:rsidRPr="00EB7D66" w:rsidRDefault="007D47C7" w:rsidP="007D47C7">
      <w:pPr>
        <w:ind w:left="57" w:firstLine="663"/>
        <w:jc w:val="both"/>
        <w:rPr>
          <w:rFonts w:ascii="Arial Narrow" w:hAnsi="Arial Narrow"/>
          <w:b/>
          <w:sz w:val="22"/>
          <w:szCs w:val="22"/>
        </w:rPr>
      </w:pPr>
      <w:r w:rsidRPr="00EB7D66">
        <w:rPr>
          <w:rFonts w:ascii="Arial Narrow" w:hAnsi="Arial Narrow"/>
          <w:b/>
          <w:sz w:val="22"/>
          <w:szCs w:val="22"/>
        </w:rPr>
        <w:t>COURSE CODE:</w:t>
      </w:r>
      <w:r w:rsidRPr="00EB7D66">
        <w:rPr>
          <w:rFonts w:ascii="Arial Narrow" w:hAnsi="Arial Narrow"/>
          <w:b/>
          <w:sz w:val="22"/>
          <w:szCs w:val="22"/>
        </w:rPr>
        <w:tab/>
        <w:t xml:space="preserve">          </w:t>
      </w:r>
      <w:r>
        <w:rPr>
          <w:rFonts w:ascii="Arial Narrow" w:hAnsi="Arial Narrow"/>
          <w:b/>
          <w:sz w:val="22"/>
          <w:szCs w:val="22"/>
        </w:rPr>
        <w:t>COM3244</w:t>
      </w:r>
      <w:r>
        <w:rPr>
          <w:rFonts w:ascii="Arial Narrow" w:hAnsi="Arial Narrow"/>
          <w:b/>
          <w:sz w:val="22"/>
          <w:szCs w:val="22"/>
        </w:rPr>
        <w:tab/>
      </w:r>
      <w:r w:rsidRPr="00EB7D66">
        <w:rPr>
          <w:rFonts w:ascii="Arial Narrow" w:hAnsi="Arial Narrow"/>
          <w:b/>
          <w:sz w:val="22"/>
          <w:szCs w:val="22"/>
        </w:rPr>
        <w:t xml:space="preserve"> ACADEMIC YEAR:          202</w:t>
      </w:r>
      <w:r>
        <w:rPr>
          <w:rFonts w:ascii="Arial Narrow" w:hAnsi="Arial Narrow"/>
          <w:b/>
          <w:sz w:val="22"/>
          <w:szCs w:val="22"/>
        </w:rPr>
        <w:t>4</w:t>
      </w:r>
      <w:r w:rsidRPr="00EB7D66">
        <w:rPr>
          <w:rFonts w:ascii="Arial Narrow" w:hAnsi="Arial Narrow"/>
          <w:b/>
          <w:sz w:val="22"/>
          <w:szCs w:val="22"/>
        </w:rPr>
        <w:t>/202</w:t>
      </w:r>
      <w:r>
        <w:rPr>
          <w:rFonts w:ascii="Arial Narrow" w:hAnsi="Arial Narrow"/>
          <w:b/>
          <w:sz w:val="22"/>
          <w:szCs w:val="22"/>
        </w:rPr>
        <w:t>5</w:t>
      </w:r>
    </w:p>
    <w:p w14:paraId="5A1DC1C2" w14:textId="77777777" w:rsidR="007D47C7" w:rsidRPr="007D47C7" w:rsidRDefault="007D47C7" w:rsidP="007D47C7">
      <w:pPr>
        <w:ind w:left="57" w:firstLine="663"/>
        <w:jc w:val="both"/>
        <w:rPr>
          <w:rFonts w:ascii="Arial Narrow" w:hAnsi="Arial Narrow"/>
          <w:b/>
          <w:sz w:val="22"/>
          <w:szCs w:val="22"/>
        </w:rPr>
      </w:pPr>
      <w:r w:rsidRPr="00EB7D66">
        <w:rPr>
          <w:rFonts w:ascii="Arial Narrow" w:hAnsi="Arial Narrow"/>
          <w:b/>
          <w:sz w:val="22"/>
          <w:szCs w:val="22"/>
        </w:rPr>
        <w:t xml:space="preserve">YEAR OF STUDY:             III      SEMESTER:                      </w:t>
      </w:r>
      <w:r>
        <w:rPr>
          <w:rFonts w:ascii="Arial Narrow" w:hAnsi="Arial Narrow"/>
          <w:b/>
          <w:sz w:val="22"/>
          <w:szCs w:val="22"/>
        </w:rPr>
        <w:tab/>
      </w:r>
      <w:r w:rsidRPr="00EB7D66">
        <w:rPr>
          <w:rFonts w:ascii="Arial Narrow" w:hAnsi="Arial Narrow"/>
          <w:b/>
          <w:sz w:val="22"/>
          <w:szCs w:val="22"/>
        </w:rPr>
        <w:t xml:space="preserve"> II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429F04BF" w14:textId="77777777" w:rsidR="007D47C7" w:rsidRPr="003E5DF9" w:rsidRDefault="007D47C7" w:rsidP="00D46774">
      <w:pPr>
        <w:pStyle w:val="Default"/>
      </w:pPr>
    </w:p>
    <w:p w14:paraId="6985E1FC" w14:textId="77777777" w:rsidR="00D46774" w:rsidRPr="003E5DF9" w:rsidRDefault="00D46774" w:rsidP="00D46774">
      <w:pPr>
        <w:rPr>
          <w:b/>
          <w:color w:val="000000"/>
        </w:rPr>
      </w:pPr>
      <w:r w:rsidRPr="003E5DF9">
        <w:rPr>
          <w:b/>
          <w:color w:val="000000"/>
        </w:rPr>
        <w:t>Course Description</w:t>
      </w:r>
    </w:p>
    <w:p w14:paraId="503B6F24" w14:textId="77777777" w:rsidR="00D46774" w:rsidRPr="003E5DF9" w:rsidRDefault="00D46774" w:rsidP="00D46774">
      <w:pPr>
        <w:pStyle w:val="Default"/>
        <w:jc w:val="both"/>
      </w:pPr>
      <w:r w:rsidRPr="003E5DF9">
        <w:t xml:space="preserve">This course develops </w:t>
      </w:r>
      <w:r w:rsidR="007D47C7">
        <w:t>your</w:t>
      </w:r>
      <w:r w:rsidRPr="003E5DF9">
        <w:t xml:space="preserve"> knowledge of finance and accounting and the ability to use that knowledge to interpret financial and accounting information in order to provide advice to the board, or a similar decision-making body, in strategy development and/or decision-making.  Students </w:t>
      </w:r>
      <w:r w:rsidRPr="003E5DF9">
        <w:rPr>
          <w:b/>
          <w:bCs/>
        </w:rPr>
        <w:t xml:space="preserve">must </w:t>
      </w:r>
      <w:r w:rsidRPr="003E5DF9">
        <w:t>have attained a basic level of understanding of financial accounting and finance.</w:t>
      </w:r>
    </w:p>
    <w:p w14:paraId="132395D1" w14:textId="77777777" w:rsidR="00D46774" w:rsidRPr="003E5DF9" w:rsidRDefault="00D46774" w:rsidP="00D46774">
      <w:pPr>
        <w:pStyle w:val="Default"/>
      </w:pPr>
    </w:p>
    <w:p w14:paraId="57372F51" w14:textId="77777777" w:rsidR="00D46774" w:rsidRPr="003E5DF9" w:rsidRDefault="00D46774" w:rsidP="00D46774">
      <w:pPr>
        <w:pStyle w:val="Default"/>
      </w:pPr>
      <w:r w:rsidRPr="003E5DF9">
        <w:rPr>
          <w:b/>
          <w:bCs/>
        </w:rPr>
        <w:t xml:space="preserve">Learning outcomes </w:t>
      </w:r>
    </w:p>
    <w:p w14:paraId="7B1F1FB2" w14:textId="77777777" w:rsidR="00D46774" w:rsidRPr="003E5DF9" w:rsidRDefault="00D46774" w:rsidP="00D46774">
      <w:pPr>
        <w:pStyle w:val="Default"/>
      </w:pPr>
      <w:r w:rsidRPr="003E5DF9">
        <w:t xml:space="preserve">After successful completion of this course you should: </w:t>
      </w:r>
    </w:p>
    <w:p w14:paraId="740FF7BB" w14:textId="77777777" w:rsidR="00D46774" w:rsidRPr="003E5DF9" w:rsidRDefault="00D46774" w:rsidP="00D46774">
      <w:pPr>
        <w:pStyle w:val="Default"/>
        <w:numPr>
          <w:ilvl w:val="0"/>
          <w:numId w:val="13"/>
        </w:numPr>
      </w:pPr>
      <w:r w:rsidRPr="003E5DF9">
        <w:t xml:space="preserve">Be able to critically engage with the need for regulating financial reporting by entities </w:t>
      </w:r>
    </w:p>
    <w:p w14:paraId="239FBBBE" w14:textId="77777777" w:rsidR="00D46774" w:rsidRPr="003E5DF9" w:rsidRDefault="00D46774" w:rsidP="00D46774">
      <w:pPr>
        <w:pStyle w:val="Default"/>
        <w:numPr>
          <w:ilvl w:val="0"/>
          <w:numId w:val="13"/>
        </w:numPr>
        <w:spacing w:after="17"/>
        <w:jc w:val="both"/>
      </w:pPr>
      <w:r w:rsidRPr="003E5DF9">
        <w:t xml:space="preserve">Understand how financial statements and reports are prepared and evaluate them in order to provide insightful interpretation </w:t>
      </w:r>
    </w:p>
    <w:p w14:paraId="41F236C6" w14:textId="77777777" w:rsidR="00D46774" w:rsidRPr="003E5DF9" w:rsidRDefault="00D46774" w:rsidP="00D46774">
      <w:pPr>
        <w:pStyle w:val="Default"/>
        <w:numPr>
          <w:ilvl w:val="0"/>
          <w:numId w:val="13"/>
        </w:numPr>
        <w:spacing w:after="17"/>
        <w:jc w:val="both"/>
      </w:pPr>
      <w:r w:rsidRPr="003E5DF9">
        <w:t xml:space="preserve">Be able to identify and critically evaluate sources of finance and their associated risks and returns </w:t>
      </w:r>
    </w:p>
    <w:p w14:paraId="042C201A" w14:textId="77777777" w:rsidR="00D46774" w:rsidRPr="003E5DF9" w:rsidRDefault="00D46774" w:rsidP="00D46774">
      <w:pPr>
        <w:pStyle w:val="Default"/>
        <w:numPr>
          <w:ilvl w:val="0"/>
          <w:numId w:val="13"/>
        </w:numPr>
        <w:spacing w:after="17"/>
        <w:jc w:val="both"/>
      </w:pPr>
      <w:r w:rsidRPr="003E5DF9">
        <w:t xml:space="preserve">Be able to </w:t>
      </w:r>
      <w:proofErr w:type="spellStart"/>
      <w:r w:rsidRPr="003E5DF9">
        <w:t>conceptualise</w:t>
      </w:r>
      <w:proofErr w:type="spellEnd"/>
      <w:r w:rsidRPr="003E5DF9">
        <w:t xml:space="preserve"> the nature and importance of capital structure and the cost of capital and evaluate these for decision making </w:t>
      </w:r>
    </w:p>
    <w:p w14:paraId="2BD83494" w14:textId="77777777" w:rsidR="00D46774" w:rsidRPr="003E5DF9" w:rsidRDefault="00D46774" w:rsidP="00D46774">
      <w:pPr>
        <w:pStyle w:val="Default"/>
        <w:numPr>
          <w:ilvl w:val="0"/>
          <w:numId w:val="13"/>
        </w:numPr>
        <w:jc w:val="both"/>
      </w:pPr>
      <w:r w:rsidRPr="003E5DF9">
        <w:t xml:space="preserve">Be able to critically explore fundamental financial decision-making theories and evaluate these for decision making. </w:t>
      </w:r>
    </w:p>
    <w:p w14:paraId="2065CEE9" w14:textId="77777777" w:rsidR="00D46774" w:rsidRPr="003E5DF9" w:rsidRDefault="00D46774" w:rsidP="00D46774">
      <w:pPr>
        <w:pStyle w:val="Default"/>
        <w:rPr>
          <w:b/>
        </w:rPr>
      </w:pPr>
    </w:p>
    <w:p w14:paraId="7CBF7C82" w14:textId="77777777" w:rsidR="00D46774" w:rsidRPr="003E5DF9" w:rsidRDefault="00D46774" w:rsidP="00D46774">
      <w:pPr>
        <w:pStyle w:val="Default"/>
      </w:pPr>
    </w:p>
    <w:p w14:paraId="59188C73" w14:textId="77777777" w:rsidR="00D46774" w:rsidRPr="003E5DF9" w:rsidRDefault="00D46774" w:rsidP="00D46774">
      <w:pPr>
        <w:pStyle w:val="Default"/>
        <w:rPr>
          <w:b/>
        </w:rPr>
      </w:pPr>
      <w:r w:rsidRPr="003E5DF9">
        <w:rPr>
          <w:b/>
        </w:rPr>
        <w:t xml:space="preserve">Course Contents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2161"/>
        <w:gridCol w:w="3878"/>
        <w:gridCol w:w="1166"/>
        <w:gridCol w:w="1175"/>
      </w:tblGrid>
      <w:tr w:rsidR="00D46774" w:rsidRPr="003E5DF9" w14:paraId="06E8DC0B" w14:textId="77777777" w:rsidTr="000C3BEC">
        <w:tc>
          <w:tcPr>
            <w:tcW w:w="570" w:type="dxa"/>
          </w:tcPr>
          <w:p w14:paraId="1DD0F01F" w14:textId="77777777" w:rsidR="00D46774" w:rsidRPr="003E5DF9" w:rsidRDefault="00D46774" w:rsidP="000C3BEC">
            <w:pPr>
              <w:pStyle w:val="Default"/>
              <w:rPr>
                <w:b/>
              </w:rPr>
            </w:pPr>
            <w:r w:rsidRPr="003E5DF9">
              <w:rPr>
                <w:b/>
              </w:rPr>
              <w:t xml:space="preserve">No. </w:t>
            </w:r>
          </w:p>
        </w:tc>
        <w:tc>
          <w:tcPr>
            <w:tcW w:w="2215" w:type="dxa"/>
          </w:tcPr>
          <w:p w14:paraId="73988EA7" w14:textId="77777777" w:rsidR="00D46774" w:rsidRPr="003E5DF9" w:rsidRDefault="00D46774" w:rsidP="000C3BEC">
            <w:pPr>
              <w:pStyle w:val="Default"/>
              <w:rPr>
                <w:b/>
              </w:rPr>
            </w:pPr>
            <w:r w:rsidRPr="003E5DF9">
              <w:rPr>
                <w:b/>
              </w:rPr>
              <w:t xml:space="preserve">Topics </w:t>
            </w:r>
          </w:p>
        </w:tc>
        <w:tc>
          <w:tcPr>
            <w:tcW w:w="4140" w:type="dxa"/>
          </w:tcPr>
          <w:p w14:paraId="3EA5A21E" w14:textId="77777777" w:rsidR="00D46774" w:rsidRPr="003E5DF9" w:rsidRDefault="00D46774" w:rsidP="000C3BEC">
            <w:pPr>
              <w:pStyle w:val="Default"/>
              <w:rPr>
                <w:b/>
              </w:rPr>
            </w:pPr>
            <w:r w:rsidRPr="003E5DF9">
              <w:rPr>
                <w:b/>
              </w:rPr>
              <w:t xml:space="preserve">Details </w:t>
            </w:r>
          </w:p>
        </w:tc>
        <w:tc>
          <w:tcPr>
            <w:tcW w:w="1170" w:type="dxa"/>
          </w:tcPr>
          <w:p w14:paraId="73491FB4" w14:textId="77777777" w:rsidR="00D46774" w:rsidRPr="003E5DF9" w:rsidRDefault="00D46774" w:rsidP="000C3BEC">
            <w:pPr>
              <w:pStyle w:val="Default"/>
              <w:rPr>
                <w:b/>
              </w:rPr>
            </w:pPr>
            <w:r w:rsidRPr="003E5DF9">
              <w:rPr>
                <w:b/>
              </w:rPr>
              <w:t xml:space="preserve">Duration </w:t>
            </w:r>
          </w:p>
        </w:tc>
        <w:tc>
          <w:tcPr>
            <w:tcW w:w="1255" w:type="dxa"/>
          </w:tcPr>
          <w:p w14:paraId="57522F2E" w14:textId="77777777" w:rsidR="00D46774" w:rsidRPr="003E5DF9" w:rsidRDefault="00D46774" w:rsidP="000C3BEC">
            <w:pPr>
              <w:pStyle w:val="Default"/>
              <w:rPr>
                <w:b/>
              </w:rPr>
            </w:pPr>
            <w:r w:rsidRPr="003E5DF9">
              <w:rPr>
                <w:b/>
              </w:rPr>
              <w:t>Week No.</w:t>
            </w:r>
          </w:p>
        </w:tc>
      </w:tr>
      <w:tr w:rsidR="00D46774" w:rsidRPr="003E5DF9" w14:paraId="2C6EDC3C" w14:textId="77777777" w:rsidTr="000C3BEC">
        <w:tc>
          <w:tcPr>
            <w:tcW w:w="570" w:type="dxa"/>
          </w:tcPr>
          <w:p w14:paraId="2E4E4DCA" w14:textId="77777777" w:rsidR="00D46774" w:rsidRPr="003E5DF9" w:rsidRDefault="007D47C7" w:rsidP="000C3BEC">
            <w:pPr>
              <w:pStyle w:val="Default"/>
            </w:pPr>
            <w:r>
              <w:t>1.0</w:t>
            </w:r>
          </w:p>
        </w:tc>
        <w:tc>
          <w:tcPr>
            <w:tcW w:w="2215" w:type="dxa"/>
          </w:tcPr>
          <w:p w14:paraId="0D0B1647" w14:textId="77777777" w:rsidR="00D46774" w:rsidRPr="003E5DF9" w:rsidRDefault="00D46774" w:rsidP="000C3BEC">
            <w:pPr>
              <w:pStyle w:val="Default"/>
              <w:rPr>
                <w:b/>
              </w:rPr>
            </w:pPr>
            <w:r w:rsidRPr="003E5DF9">
              <w:rPr>
                <w:b/>
              </w:rPr>
              <w:t xml:space="preserve">The regulatory framework (legislation and accounting standards) of financial reporting </w:t>
            </w:r>
          </w:p>
          <w:p w14:paraId="7D6257BD" w14:textId="77777777" w:rsidR="00D46774" w:rsidRPr="003E5DF9" w:rsidRDefault="00D46774" w:rsidP="000C3BEC">
            <w:pPr>
              <w:pStyle w:val="Default"/>
            </w:pPr>
          </w:p>
        </w:tc>
        <w:tc>
          <w:tcPr>
            <w:tcW w:w="4140" w:type="dxa"/>
          </w:tcPr>
          <w:p w14:paraId="40CCE579" w14:textId="77777777" w:rsidR="00D46774" w:rsidRPr="003E5DF9" w:rsidRDefault="00D46774" w:rsidP="000C3BEC">
            <w:pPr>
              <w:pStyle w:val="Default"/>
            </w:pPr>
            <w:r w:rsidRPr="003E5DF9">
              <w:t>The need and necessity of regulation in financial reporting, including:</w:t>
            </w:r>
          </w:p>
          <w:p w14:paraId="0F8C1785" w14:textId="77777777" w:rsidR="00D46774" w:rsidRPr="003E5DF9" w:rsidRDefault="00D46774" w:rsidP="00D46774">
            <w:pPr>
              <w:pStyle w:val="Default"/>
              <w:numPr>
                <w:ilvl w:val="0"/>
                <w:numId w:val="13"/>
              </w:numPr>
            </w:pPr>
            <w:r w:rsidRPr="003E5DF9">
              <w:t>Public interest argument – the need to achieve desired social goals:</w:t>
            </w:r>
          </w:p>
          <w:p w14:paraId="0C6F0483" w14:textId="77777777" w:rsidR="00D46774" w:rsidRPr="003E5DF9" w:rsidRDefault="00D46774" w:rsidP="00D46774">
            <w:pPr>
              <w:pStyle w:val="Default"/>
              <w:numPr>
                <w:ilvl w:val="0"/>
                <w:numId w:val="13"/>
              </w:numPr>
            </w:pPr>
            <w:r w:rsidRPr="003E5DF9">
              <w:t>The role of financial accounting standards Generally Accepted Accounting Practice (GAAP) and International Financial Reporting Standards (IFRS) in regulating financial reporting:</w:t>
            </w:r>
          </w:p>
          <w:p w14:paraId="1A0CDC1A" w14:textId="77777777" w:rsidR="00D46774" w:rsidRPr="003E5DF9" w:rsidRDefault="00D46774" w:rsidP="00D46774">
            <w:pPr>
              <w:pStyle w:val="Default"/>
              <w:numPr>
                <w:ilvl w:val="0"/>
                <w:numId w:val="13"/>
              </w:numPr>
            </w:pPr>
            <w:r w:rsidRPr="003E5DF9">
              <w:t>Agency theory</w:t>
            </w:r>
          </w:p>
          <w:p w14:paraId="7A6481FF" w14:textId="77777777" w:rsidR="00D46774" w:rsidRPr="003E5DF9" w:rsidRDefault="00D46774" w:rsidP="00D46774">
            <w:pPr>
              <w:pStyle w:val="Default"/>
              <w:numPr>
                <w:ilvl w:val="0"/>
                <w:numId w:val="13"/>
              </w:numPr>
            </w:pPr>
            <w:r w:rsidRPr="003E5DF9">
              <w:t>Arguments against accounting regulation</w:t>
            </w:r>
          </w:p>
          <w:p w14:paraId="7CDC0872" w14:textId="77777777" w:rsidR="00D46774" w:rsidRPr="003E5DF9" w:rsidRDefault="00D46774" w:rsidP="00D46774">
            <w:pPr>
              <w:pStyle w:val="Default"/>
              <w:numPr>
                <w:ilvl w:val="0"/>
                <w:numId w:val="13"/>
              </w:numPr>
            </w:pPr>
            <w:r w:rsidRPr="003E5DF9">
              <w:t>Statutory framework and legal requirements</w:t>
            </w:r>
          </w:p>
          <w:p w14:paraId="203D0483" w14:textId="77777777" w:rsidR="00D46774" w:rsidRPr="003E5DF9" w:rsidRDefault="00D46774" w:rsidP="000C3BEC">
            <w:pPr>
              <w:pStyle w:val="Default"/>
            </w:pPr>
          </w:p>
        </w:tc>
        <w:tc>
          <w:tcPr>
            <w:tcW w:w="1170" w:type="dxa"/>
          </w:tcPr>
          <w:p w14:paraId="5FE2DC3F" w14:textId="178CE44A" w:rsidR="00D46774" w:rsidRPr="003E5DF9" w:rsidRDefault="00F22AC3" w:rsidP="000C3BEC">
            <w:pPr>
              <w:pStyle w:val="Default"/>
            </w:pPr>
            <w:r>
              <w:t>8</w:t>
            </w:r>
            <w:r w:rsidR="00D46774" w:rsidRPr="003E5DF9">
              <w:t xml:space="preserve"> hours </w:t>
            </w:r>
          </w:p>
        </w:tc>
        <w:tc>
          <w:tcPr>
            <w:tcW w:w="1255" w:type="dxa"/>
          </w:tcPr>
          <w:p w14:paraId="1D2841BE" w14:textId="77777777" w:rsidR="00D46774" w:rsidRPr="003E5DF9" w:rsidRDefault="00D46774" w:rsidP="000C3BEC">
            <w:pPr>
              <w:pStyle w:val="Default"/>
            </w:pPr>
            <w:r w:rsidRPr="003E5DF9">
              <w:t>1&amp;2</w:t>
            </w:r>
          </w:p>
        </w:tc>
      </w:tr>
      <w:tr w:rsidR="00D46774" w:rsidRPr="003E5DF9" w14:paraId="64C7021F" w14:textId="77777777" w:rsidTr="000C3BEC">
        <w:tc>
          <w:tcPr>
            <w:tcW w:w="570" w:type="dxa"/>
          </w:tcPr>
          <w:p w14:paraId="3403A4D7" w14:textId="77777777" w:rsidR="00D46774" w:rsidRPr="003E5DF9" w:rsidRDefault="007D47C7" w:rsidP="000C3BEC">
            <w:pPr>
              <w:pStyle w:val="Default"/>
            </w:pPr>
            <w:r>
              <w:lastRenderedPageBreak/>
              <w:t>2.0</w:t>
            </w:r>
          </w:p>
        </w:tc>
        <w:tc>
          <w:tcPr>
            <w:tcW w:w="2215" w:type="dxa"/>
          </w:tcPr>
          <w:p w14:paraId="0AD7AB0B" w14:textId="77777777" w:rsidR="00D46774" w:rsidRPr="003E5DF9" w:rsidRDefault="00D46774" w:rsidP="000C3BEC">
            <w:pPr>
              <w:pStyle w:val="Default"/>
            </w:pPr>
            <w:r w:rsidRPr="003E5DF9">
              <w:t>Role of IFRS in regulating financial reporting</w:t>
            </w:r>
            <w:r w:rsidR="007D47C7" w:rsidRPr="007D47C7">
              <w:rPr>
                <w:color w:val="00B0F0"/>
              </w:rPr>
              <w:t>*(Group work)</w:t>
            </w:r>
          </w:p>
        </w:tc>
        <w:tc>
          <w:tcPr>
            <w:tcW w:w="4140" w:type="dxa"/>
          </w:tcPr>
          <w:p w14:paraId="0EC97DCC" w14:textId="77777777" w:rsidR="00D46774" w:rsidRPr="003E5DF9" w:rsidRDefault="00D46774" w:rsidP="000C3BEC">
            <w:pPr>
              <w:pStyle w:val="Default"/>
            </w:pPr>
            <w:r w:rsidRPr="003E5DF9">
              <w:t>The international approach:</w:t>
            </w:r>
          </w:p>
          <w:p w14:paraId="62EBA272" w14:textId="77777777" w:rsidR="00D46774" w:rsidRPr="003E5DF9" w:rsidRDefault="00D46774" w:rsidP="00D46774">
            <w:pPr>
              <w:pStyle w:val="Default"/>
              <w:numPr>
                <w:ilvl w:val="0"/>
                <w:numId w:val="2"/>
              </w:numPr>
            </w:pPr>
            <w:r w:rsidRPr="003E5DF9">
              <w:t>the need for global financial reporting standards –</w:t>
            </w:r>
          </w:p>
          <w:p w14:paraId="04C3D71E" w14:textId="77777777" w:rsidR="00D46774" w:rsidRPr="003E5DF9" w:rsidRDefault="00D46774" w:rsidP="00D46774">
            <w:pPr>
              <w:pStyle w:val="Default"/>
              <w:numPr>
                <w:ilvl w:val="0"/>
                <w:numId w:val="2"/>
              </w:numPr>
            </w:pPr>
            <w:r w:rsidRPr="003E5DF9">
              <w:t>the work and objectives of the International Accounting Standards Board (IASB)</w:t>
            </w:r>
          </w:p>
          <w:p w14:paraId="68205C5C" w14:textId="77777777" w:rsidR="00D46774" w:rsidRPr="003E5DF9" w:rsidRDefault="00D46774" w:rsidP="00D46774">
            <w:pPr>
              <w:pStyle w:val="Default"/>
              <w:numPr>
                <w:ilvl w:val="0"/>
                <w:numId w:val="2"/>
              </w:numPr>
            </w:pPr>
            <w:r w:rsidRPr="003E5DF9">
              <w:t>a principle-based approach to developing a common set of financial reporting standards</w:t>
            </w:r>
          </w:p>
          <w:p w14:paraId="3C8413AF" w14:textId="77777777" w:rsidR="00D46774" w:rsidRPr="003E5DF9" w:rsidRDefault="00D46774" w:rsidP="00D46774">
            <w:pPr>
              <w:pStyle w:val="Default"/>
              <w:numPr>
                <w:ilvl w:val="0"/>
                <w:numId w:val="2"/>
              </w:numPr>
            </w:pPr>
            <w:r w:rsidRPr="003E5DF9">
              <w:t>The regulatory structure of international financial reporting and the standard-setting process:</w:t>
            </w:r>
          </w:p>
          <w:p w14:paraId="31F3E762" w14:textId="77777777" w:rsidR="00D46774" w:rsidRPr="003E5DF9" w:rsidRDefault="00D46774" w:rsidP="00D46774">
            <w:pPr>
              <w:pStyle w:val="Default"/>
              <w:numPr>
                <w:ilvl w:val="0"/>
                <w:numId w:val="2"/>
              </w:numPr>
            </w:pPr>
            <w:r w:rsidRPr="003E5DF9">
              <w:t>structure of the IASB’s financial reporting standards and role of the International Accounting Standards Committee (IASC)</w:t>
            </w:r>
          </w:p>
          <w:p w14:paraId="75006707" w14:textId="77777777" w:rsidR="00D46774" w:rsidRPr="003E5DF9" w:rsidRDefault="00D46774" w:rsidP="00D46774">
            <w:pPr>
              <w:pStyle w:val="Default"/>
              <w:numPr>
                <w:ilvl w:val="0"/>
                <w:numId w:val="2"/>
              </w:numPr>
            </w:pPr>
            <w:r w:rsidRPr="003E5DF9">
              <w:t>IFRS framework and the world:</w:t>
            </w:r>
          </w:p>
          <w:p w14:paraId="2B7D5BE0" w14:textId="77777777" w:rsidR="00D46774" w:rsidRPr="003E5DF9" w:rsidRDefault="00D46774" w:rsidP="00D46774">
            <w:pPr>
              <w:pStyle w:val="Default"/>
              <w:numPr>
                <w:ilvl w:val="0"/>
                <w:numId w:val="2"/>
              </w:numPr>
            </w:pPr>
            <w:r w:rsidRPr="003E5DF9">
              <w:t>historical reasons for differences in accounting practices – GAAPs versus IFRS</w:t>
            </w:r>
          </w:p>
          <w:p w14:paraId="033A5C3F" w14:textId="77777777" w:rsidR="00D46774" w:rsidRPr="003E5DF9" w:rsidRDefault="00D46774" w:rsidP="00D46774">
            <w:pPr>
              <w:pStyle w:val="Default"/>
              <w:numPr>
                <w:ilvl w:val="0"/>
                <w:numId w:val="2"/>
              </w:numPr>
            </w:pPr>
            <w:r w:rsidRPr="003E5DF9">
              <w:t>principal differences between IFRS and UK GAAP</w:t>
            </w:r>
          </w:p>
          <w:p w14:paraId="70F19561" w14:textId="77777777" w:rsidR="00D46774" w:rsidRPr="003E5DF9" w:rsidRDefault="007D47C7" w:rsidP="00D46774">
            <w:pPr>
              <w:pStyle w:val="Default"/>
              <w:numPr>
                <w:ilvl w:val="0"/>
                <w:numId w:val="2"/>
              </w:numPr>
            </w:pPr>
            <w:r>
              <w:t>T</w:t>
            </w:r>
            <w:r w:rsidR="00D46774" w:rsidRPr="003E5DF9">
              <w:t>he local approach – standard setting and the adoption of International Accounting Standards (IAS)</w:t>
            </w:r>
          </w:p>
          <w:p w14:paraId="7EFCA8CA" w14:textId="77777777" w:rsidR="00D46774" w:rsidRPr="003E5DF9" w:rsidRDefault="007D47C7" w:rsidP="00D46774">
            <w:pPr>
              <w:pStyle w:val="Default"/>
              <w:numPr>
                <w:ilvl w:val="0"/>
                <w:numId w:val="2"/>
              </w:numPr>
            </w:pPr>
            <w:r>
              <w:t>C</w:t>
            </w:r>
            <w:r w:rsidR="00D46774" w:rsidRPr="003E5DF9">
              <w:t>urrent developments</w:t>
            </w:r>
            <w:r>
              <w:t xml:space="preserve"> &amp; Convergence</w:t>
            </w:r>
          </w:p>
          <w:p w14:paraId="3DE45C92" w14:textId="77777777" w:rsidR="00D46774" w:rsidRPr="003E5DF9" w:rsidRDefault="00D46774" w:rsidP="007D47C7">
            <w:pPr>
              <w:pStyle w:val="Default"/>
              <w:ind w:left="720"/>
            </w:pPr>
          </w:p>
        </w:tc>
        <w:tc>
          <w:tcPr>
            <w:tcW w:w="1170" w:type="dxa"/>
          </w:tcPr>
          <w:p w14:paraId="7CC02B5F" w14:textId="77777777" w:rsidR="00D46774" w:rsidRPr="003E5DF9" w:rsidRDefault="00D46774" w:rsidP="000C3BEC">
            <w:pPr>
              <w:pStyle w:val="Default"/>
            </w:pPr>
            <w:r w:rsidRPr="003E5DF9">
              <w:t xml:space="preserve">4 hours </w:t>
            </w:r>
          </w:p>
        </w:tc>
        <w:tc>
          <w:tcPr>
            <w:tcW w:w="1255" w:type="dxa"/>
          </w:tcPr>
          <w:p w14:paraId="734CCFA6" w14:textId="77777777" w:rsidR="00D46774" w:rsidRPr="003E5DF9" w:rsidRDefault="00D46774" w:rsidP="000C3BEC">
            <w:pPr>
              <w:pStyle w:val="Default"/>
            </w:pPr>
            <w:r w:rsidRPr="003E5DF9">
              <w:t>3</w:t>
            </w:r>
          </w:p>
        </w:tc>
      </w:tr>
      <w:tr w:rsidR="00D46774" w:rsidRPr="003E5DF9" w14:paraId="29F5BDD0" w14:textId="77777777" w:rsidTr="000C3BEC">
        <w:tc>
          <w:tcPr>
            <w:tcW w:w="570" w:type="dxa"/>
          </w:tcPr>
          <w:p w14:paraId="41A951FA" w14:textId="77777777" w:rsidR="00D46774" w:rsidRPr="003E5DF9" w:rsidRDefault="007D47C7" w:rsidP="000C3BEC">
            <w:pPr>
              <w:pStyle w:val="Default"/>
            </w:pPr>
            <w:r>
              <w:t>3.0</w:t>
            </w:r>
          </w:p>
        </w:tc>
        <w:tc>
          <w:tcPr>
            <w:tcW w:w="2215" w:type="dxa"/>
          </w:tcPr>
          <w:p w14:paraId="17BAC12F" w14:textId="77777777" w:rsidR="00D46774" w:rsidRPr="003E5DF9" w:rsidRDefault="00D46774" w:rsidP="000C3BEC">
            <w:pPr>
              <w:pStyle w:val="Default"/>
            </w:pPr>
            <w:r w:rsidRPr="003E5DF9">
              <w:t>The Conceptual Framework for financial reporting</w:t>
            </w:r>
          </w:p>
        </w:tc>
        <w:tc>
          <w:tcPr>
            <w:tcW w:w="4140" w:type="dxa"/>
          </w:tcPr>
          <w:p w14:paraId="7291E7FC" w14:textId="77777777" w:rsidR="00D46774" w:rsidRPr="003E5DF9" w:rsidRDefault="00D46774" w:rsidP="00D46774">
            <w:pPr>
              <w:pStyle w:val="Default"/>
              <w:numPr>
                <w:ilvl w:val="0"/>
                <w:numId w:val="1"/>
              </w:numPr>
            </w:pPr>
            <w:r w:rsidRPr="003E5DF9">
              <w:t>Financial accounting concepts and principles and the Conceptual Framework in the preparation and presentation of financial statements.</w:t>
            </w:r>
          </w:p>
          <w:p w14:paraId="627DAC6D" w14:textId="77777777" w:rsidR="00D46774" w:rsidRPr="003E5DF9" w:rsidRDefault="00D46774" w:rsidP="00D46774">
            <w:pPr>
              <w:pStyle w:val="Default"/>
              <w:numPr>
                <w:ilvl w:val="0"/>
                <w:numId w:val="1"/>
              </w:numPr>
            </w:pPr>
            <w:r w:rsidRPr="003E5DF9">
              <w:t>Purpose of the Conceptual Framework</w:t>
            </w:r>
          </w:p>
          <w:p w14:paraId="0A4CB16F" w14:textId="77777777" w:rsidR="00D46774" w:rsidRPr="003E5DF9" w:rsidRDefault="00D46774" w:rsidP="00D46774">
            <w:pPr>
              <w:pStyle w:val="Default"/>
              <w:numPr>
                <w:ilvl w:val="0"/>
                <w:numId w:val="1"/>
              </w:numPr>
            </w:pPr>
            <w:r w:rsidRPr="003E5DF9">
              <w:t>Basic objectives and users of financial statements</w:t>
            </w:r>
          </w:p>
          <w:p w14:paraId="3B3FAF04" w14:textId="77777777" w:rsidR="00D46774" w:rsidRPr="003E5DF9" w:rsidRDefault="00D46774" w:rsidP="00D46774">
            <w:pPr>
              <w:pStyle w:val="Default"/>
              <w:numPr>
                <w:ilvl w:val="0"/>
                <w:numId w:val="1"/>
              </w:numPr>
            </w:pPr>
            <w:r w:rsidRPr="003E5DF9">
              <w:t>Assumptions underlying financial statements</w:t>
            </w:r>
          </w:p>
          <w:p w14:paraId="1529EF11" w14:textId="77777777" w:rsidR="00D46774" w:rsidRPr="003E5DF9" w:rsidRDefault="00D46774" w:rsidP="00D46774">
            <w:pPr>
              <w:pStyle w:val="Default"/>
              <w:numPr>
                <w:ilvl w:val="0"/>
                <w:numId w:val="1"/>
              </w:numPr>
            </w:pPr>
            <w:r w:rsidRPr="003E5DF9">
              <w:t>fundamental qualitative characteristics:</w:t>
            </w:r>
          </w:p>
          <w:p w14:paraId="04C52503" w14:textId="77777777" w:rsidR="00D46774" w:rsidRPr="003E5DF9" w:rsidRDefault="00D46774" w:rsidP="00D46774">
            <w:pPr>
              <w:pStyle w:val="Default"/>
              <w:numPr>
                <w:ilvl w:val="0"/>
                <w:numId w:val="1"/>
              </w:numPr>
            </w:pPr>
            <w:r w:rsidRPr="003E5DF9">
              <w:t>enhancing qualitative characteristics:</w:t>
            </w:r>
          </w:p>
          <w:p w14:paraId="1A29A2A8" w14:textId="77777777" w:rsidR="00D46774" w:rsidRPr="003E5DF9" w:rsidRDefault="00D46774" w:rsidP="00D46774">
            <w:pPr>
              <w:pStyle w:val="Default"/>
              <w:numPr>
                <w:ilvl w:val="0"/>
                <w:numId w:val="1"/>
              </w:numPr>
            </w:pPr>
            <w:r w:rsidRPr="003E5DF9">
              <w:lastRenderedPageBreak/>
              <w:t xml:space="preserve">Elements of financial statements </w:t>
            </w:r>
          </w:p>
          <w:p w14:paraId="4A51D435" w14:textId="77777777" w:rsidR="00D46774" w:rsidRPr="003E5DF9" w:rsidRDefault="00D46774" w:rsidP="00D46774">
            <w:pPr>
              <w:pStyle w:val="Default"/>
              <w:numPr>
                <w:ilvl w:val="0"/>
                <w:numId w:val="1"/>
              </w:numPr>
            </w:pPr>
            <w:r w:rsidRPr="003E5DF9">
              <w:t>Use of capital and capital maintenance in accrual basis financial statements</w:t>
            </w:r>
          </w:p>
          <w:p w14:paraId="4046D28A" w14:textId="77777777" w:rsidR="00D46774" w:rsidRPr="003E5DF9" w:rsidRDefault="00D46774" w:rsidP="00D46774">
            <w:pPr>
              <w:pStyle w:val="Default"/>
              <w:numPr>
                <w:ilvl w:val="0"/>
                <w:numId w:val="1"/>
              </w:numPr>
            </w:pPr>
            <w:r w:rsidRPr="003E5DF9">
              <w:t>Contribution and inherent limitations of financial statements, including key ethical issues</w:t>
            </w:r>
          </w:p>
          <w:p w14:paraId="7807D770" w14:textId="77777777" w:rsidR="00D46774" w:rsidRPr="003E5DF9" w:rsidRDefault="00D46774" w:rsidP="00D46774">
            <w:pPr>
              <w:pStyle w:val="Default"/>
              <w:numPr>
                <w:ilvl w:val="0"/>
                <w:numId w:val="1"/>
              </w:numPr>
            </w:pPr>
            <w:r w:rsidRPr="003E5DF9">
              <w:t>The use of the business model concept in financial reporting</w:t>
            </w:r>
          </w:p>
          <w:p w14:paraId="5FE0E5B0" w14:textId="77777777" w:rsidR="00D46774" w:rsidRPr="003E5DF9" w:rsidRDefault="00D46774" w:rsidP="000C3BEC">
            <w:pPr>
              <w:pStyle w:val="Default"/>
            </w:pPr>
          </w:p>
        </w:tc>
        <w:tc>
          <w:tcPr>
            <w:tcW w:w="1170" w:type="dxa"/>
          </w:tcPr>
          <w:p w14:paraId="51D87078" w14:textId="77777777" w:rsidR="00D46774" w:rsidRPr="003E5DF9" w:rsidRDefault="00D46774" w:rsidP="000C3BEC">
            <w:pPr>
              <w:pStyle w:val="Default"/>
            </w:pPr>
            <w:r w:rsidRPr="003E5DF9">
              <w:lastRenderedPageBreak/>
              <w:t xml:space="preserve">4 hours </w:t>
            </w:r>
          </w:p>
        </w:tc>
        <w:tc>
          <w:tcPr>
            <w:tcW w:w="1255" w:type="dxa"/>
          </w:tcPr>
          <w:p w14:paraId="775F9C22" w14:textId="77777777" w:rsidR="00D46774" w:rsidRPr="003E5DF9" w:rsidRDefault="00D46774" w:rsidP="000C3BEC">
            <w:pPr>
              <w:pStyle w:val="Default"/>
            </w:pPr>
            <w:r w:rsidRPr="003E5DF9">
              <w:t>4</w:t>
            </w:r>
          </w:p>
        </w:tc>
      </w:tr>
      <w:tr w:rsidR="00D46774" w:rsidRPr="003E5DF9" w14:paraId="315B0833" w14:textId="77777777" w:rsidTr="000C3BEC">
        <w:tc>
          <w:tcPr>
            <w:tcW w:w="570" w:type="dxa"/>
          </w:tcPr>
          <w:p w14:paraId="537F98F9" w14:textId="77777777" w:rsidR="00D46774" w:rsidRPr="003E5DF9" w:rsidRDefault="007D47C7" w:rsidP="000C3BEC">
            <w:pPr>
              <w:pStyle w:val="Default"/>
            </w:pPr>
            <w:r>
              <w:t>4.0</w:t>
            </w:r>
          </w:p>
        </w:tc>
        <w:tc>
          <w:tcPr>
            <w:tcW w:w="2215" w:type="dxa"/>
          </w:tcPr>
          <w:p w14:paraId="611C5C13" w14:textId="77777777" w:rsidR="00D46774" w:rsidRPr="003E5DF9" w:rsidRDefault="00D46774" w:rsidP="000C3BEC">
            <w:pPr>
              <w:pStyle w:val="Default"/>
            </w:pPr>
            <w:r w:rsidRPr="003E5DF9">
              <w:t xml:space="preserve">Criteria and requirements for information appearing in a </w:t>
            </w:r>
            <w:proofErr w:type="gramStart"/>
            <w:r w:rsidRPr="003E5DF9">
              <w:t>published financial statements</w:t>
            </w:r>
            <w:proofErr w:type="gramEnd"/>
            <w:r w:rsidRPr="003E5DF9">
              <w:t xml:space="preserve"> as per international reporting framework</w:t>
            </w:r>
          </w:p>
        </w:tc>
        <w:tc>
          <w:tcPr>
            <w:tcW w:w="4140" w:type="dxa"/>
          </w:tcPr>
          <w:p w14:paraId="18053A05" w14:textId="77777777" w:rsidR="00D46774" w:rsidRPr="003E5DF9" w:rsidRDefault="00D46774" w:rsidP="00D46774">
            <w:pPr>
              <w:pStyle w:val="Default"/>
              <w:numPr>
                <w:ilvl w:val="0"/>
                <w:numId w:val="3"/>
              </w:numPr>
              <w:ind w:left="360"/>
            </w:pPr>
            <w:r w:rsidRPr="003E5DF9">
              <w:t>Objectives of financial statements</w:t>
            </w:r>
          </w:p>
          <w:p w14:paraId="1B8F81A0" w14:textId="77777777" w:rsidR="00D46774" w:rsidRPr="003E5DF9" w:rsidRDefault="00D46774" w:rsidP="00D46774">
            <w:pPr>
              <w:pStyle w:val="Default"/>
              <w:numPr>
                <w:ilvl w:val="0"/>
                <w:numId w:val="3"/>
              </w:numPr>
              <w:ind w:left="360"/>
            </w:pPr>
            <w:r w:rsidRPr="003E5DF9">
              <w:t>Structure and content of financial statements</w:t>
            </w:r>
          </w:p>
          <w:p w14:paraId="6B6C8641" w14:textId="77777777" w:rsidR="00D46774" w:rsidRPr="003E5DF9" w:rsidRDefault="00D46774" w:rsidP="00D46774">
            <w:pPr>
              <w:pStyle w:val="Default"/>
              <w:numPr>
                <w:ilvl w:val="0"/>
                <w:numId w:val="3"/>
              </w:numPr>
              <w:ind w:left="360"/>
            </w:pPr>
            <w:r w:rsidRPr="003E5DF9">
              <w:t>Preparation of financial statements and the concepts of:</w:t>
            </w:r>
          </w:p>
          <w:p w14:paraId="3D674F1E" w14:textId="77777777" w:rsidR="00D46774" w:rsidRPr="003E5DF9" w:rsidRDefault="00D46774" w:rsidP="00D46774">
            <w:pPr>
              <w:pStyle w:val="Default"/>
              <w:numPr>
                <w:ilvl w:val="0"/>
                <w:numId w:val="3"/>
              </w:numPr>
              <w:ind w:left="360"/>
            </w:pPr>
            <w:r w:rsidRPr="003E5DF9">
              <w:t>Reporting period and comparative information</w:t>
            </w:r>
          </w:p>
          <w:p w14:paraId="3F531421" w14:textId="77777777" w:rsidR="00D46774" w:rsidRPr="003E5DF9" w:rsidRDefault="00D46774" w:rsidP="00D46774">
            <w:pPr>
              <w:pStyle w:val="Default"/>
              <w:numPr>
                <w:ilvl w:val="0"/>
                <w:numId w:val="2"/>
              </w:numPr>
              <w:ind w:left="360"/>
            </w:pPr>
            <w:r w:rsidRPr="003E5DF9">
              <w:t>An overview of accounting irregularities and creative accounting</w:t>
            </w:r>
          </w:p>
          <w:p w14:paraId="713814D8" w14:textId="77777777" w:rsidR="00D46774" w:rsidRPr="003E5DF9" w:rsidRDefault="00D46774" w:rsidP="000C3BEC">
            <w:pPr>
              <w:pStyle w:val="Default"/>
            </w:pPr>
          </w:p>
        </w:tc>
        <w:tc>
          <w:tcPr>
            <w:tcW w:w="1170" w:type="dxa"/>
          </w:tcPr>
          <w:p w14:paraId="0F84A107" w14:textId="77777777" w:rsidR="00D46774" w:rsidRPr="003E5DF9" w:rsidRDefault="00D46774" w:rsidP="000C3BEC">
            <w:pPr>
              <w:pStyle w:val="Default"/>
            </w:pPr>
            <w:r w:rsidRPr="003E5DF9">
              <w:t xml:space="preserve">4 hours </w:t>
            </w:r>
          </w:p>
        </w:tc>
        <w:tc>
          <w:tcPr>
            <w:tcW w:w="1255" w:type="dxa"/>
          </w:tcPr>
          <w:p w14:paraId="6E223513" w14:textId="77777777" w:rsidR="00D46774" w:rsidRPr="003E5DF9" w:rsidRDefault="00D46774" w:rsidP="000C3BEC">
            <w:pPr>
              <w:pStyle w:val="Default"/>
            </w:pPr>
            <w:r w:rsidRPr="003E5DF9">
              <w:t>5</w:t>
            </w:r>
          </w:p>
        </w:tc>
      </w:tr>
      <w:tr w:rsidR="00D46774" w:rsidRPr="003E5DF9" w14:paraId="3210CB91" w14:textId="77777777" w:rsidTr="000C3BEC">
        <w:tc>
          <w:tcPr>
            <w:tcW w:w="570" w:type="dxa"/>
          </w:tcPr>
          <w:p w14:paraId="0C564E65" w14:textId="77777777" w:rsidR="00D46774" w:rsidRPr="003E5DF9" w:rsidRDefault="007D47C7" w:rsidP="000C3BEC">
            <w:pPr>
              <w:pStyle w:val="Default"/>
            </w:pPr>
            <w:r>
              <w:t>5.0</w:t>
            </w:r>
          </w:p>
        </w:tc>
        <w:tc>
          <w:tcPr>
            <w:tcW w:w="2215" w:type="dxa"/>
          </w:tcPr>
          <w:p w14:paraId="660A1F34" w14:textId="77777777" w:rsidR="00D46774" w:rsidRPr="003E5DF9" w:rsidRDefault="00D46774" w:rsidP="000C3BEC">
            <w:pPr>
              <w:pStyle w:val="Default"/>
            </w:pPr>
            <w:r w:rsidRPr="003E5DF9">
              <w:t>Key components of financial statements for single entities</w:t>
            </w:r>
          </w:p>
          <w:p w14:paraId="2D5BF5AB" w14:textId="77777777" w:rsidR="00D46774" w:rsidRPr="003E5DF9" w:rsidRDefault="00D46774" w:rsidP="000C3BEC">
            <w:pPr>
              <w:pStyle w:val="Default"/>
            </w:pPr>
          </w:p>
        </w:tc>
        <w:tc>
          <w:tcPr>
            <w:tcW w:w="4140" w:type="dxa"/>
          </w:tcPr>
          <w:p w14:paraId="3BEC6A8D" w14:textId="77777777" w:rsidR="00D46774" w:rsidRPr="003E5DF9" w:rsidRDefault="00D46774" w:rsidP="00D46774">
            <w:pPr>
              <w:pStyle w:val="Default"/>
              <w:numPr>
                <w:ilvl w:val="0"/>
                <w:numId w:val="4"/>
              </w:numPr>
            </w:pPr>
            <w:r w:rsidRPr="003E5DF9">
              <w:t>Statement of profit or loss and other comprehensive income</w:t>
            </w:r>
          </w:p>
          <w:p w14:paraId="77C07D5C" w14:textId="77777777" w:rsidR="00D46774" w:rsidRPr="003E5DF9" w:rsidRDefault="00D46774" w:rsidP="00D46774">
            <w:pPr>
              <w:pStyle w:val="Default"/>
              <w:numPr>
                <w:ilvl w:val="0"/>
                <w:numId w:val="4"/>
              </w:numPr>
            </w:pPr>
            <w:r w:rsidRPr="003E5DF9">
              <w:t>Statement of change in equity:</w:t>
            </w:r>
          </w:p>
          <w:p w14:paraId="2E961FF8" w14:textId="77777777" w:rsidR="00D46774" w:rsidRPr="003E5DF9" w:rsidRDefault="00D46774" w:rsidP="00D46774">
            <w:pPr>
              <w:pStyle w:val="Default"/>
              <w:numPr>
                <w:ilvl w:val="0"/>
                <w:numId w:val="4"/>
              </w:numPr>
            </w:pPr>
            <w:r w:rsidRPr="003E5DF9">
              <w:t>Statement of financial position (balance sheet):</w:t>
            </w:r>
          </w:p>
          <w:p w14:paraId="50553626" w14:textId="77777777" w:rsidR="00D46774" w:rsidRPr="003E5DF9" w:rsidRDefault="00D46774" w:rsidP="00D46774">
            <w:pPr>
              <w:pStyle w:val="Default"/>
              <w:numPr>
                <w:ilvl w:val="0"/>
                <w:numId w:val="4"/>
              </w:numPr>
            </w:pPr>
            <w:r w:rsidRPr="003E5DF9">
              <w:t>Statement of cash flow – as per requirement of IAS 7 ‘Statement of Cash Flows’</w:t>
            </w:r>
          </w:p>
          <w:p w14:paraId="700B2D76" w14:textId="77777777" w:rsidR="00D46774" w:rsidRPr="003E5DF9" w:rsidRDefault="00D46774" w:rsidP="000C3BEC">
            <w:pPr>
              <w:pStyle w:val="Default"/>
            </w:pPr>
            <w:r w:rsidRPr="003E5DF9">
              <w:rPr>
                <w:b/>
                <w:i/>
              </w:rPr>
              <w:t>Note</w:t>
            </w:r>
            <w:r w:rsidRPr="003E5DF9">
              <w:t>: Students will not be required to prepare financial statements as part of their assessment.</w:t>
            </w:r>
          </w:p>
          <w:p w14:paraId="77DC0A04" w14:textId="77777777" w:rsidR="00D46774" w:rsidRPr="003E5DF9" w:rsidRDefault="00D46774" w:rsidP="000C3BEC">
            <w:pPr>
              <w:pStyle w:val="Default"/>
            </w:pPr>
          </w:p>
          <w:p w14:paraId="4F7928EC" w14:textId="77777777" w:rsidR="00D46774" w:rsidRPr="003E5DF9" w:rsidRDefault="00D46774" w:rsidP="000C3BEC">
            <w:pPr>
              <w:pStyle w:val="Default"/>
            </w:pPr>
            <w:r w:rsidRPr="003E5DF9">
              <w:t>Other components and disclosures made in published accounts</w:t>
            </w:r>
          </w:p>
          <w:p w14:paraId="7623CE1B" w14:textId="77777777" w:rsidR="00D46774" w:rsidRPr="003E5DF9" w:rsidRDefault="00D46774" w:rsidP="00D46774">
            <w:pPr>
              <w:pStyle w:val="Default"/>
              <w:numPr>
                <w:ilvl w:val="0"/>
                <w:numId w:val="14"/>
              </w:numPr>
            </w:pPr>
            <w:r w:rsidRPr="003E5DF9">
              <w:t>Purpose and contents of:</w:t>
            </w:r>
          </w:p>
          <w:p w14:paraId="56A6E2FC" w14:textId="77777777" w:rsidR="007D47C7" w:rsidRDefault="00D46774" w:rsidP="007D47C7">
            <w:pPr>
              <w:pStyle w:val="Default"/>
              <w:numPr>
                <w:ilvl w:val="0"/>
                <w:numId w:val="14"/>
              </w:numPr>
            </w:pPr>
            <w:r w:rsidRPr="003E5DF9">
              <w:t>Notes to the accounts – purpose and contents</w:t>
            </w:r>
            <w:r w:rsidR="007D47C7">
              <w:t>.</w:t>
            </w:r>
          </w:p>
          <w:p w14:paraId="5B5EBD14" w14:textId="77777777" w:rsidR="00D46774" w:rsidRPr="003E5DF9" w:rsidRDefault="00D46774" w:rsidP="007D47C7">
            <w:pPr>
              <w:pStyle w:val="Default"/>
              <w:numPr>
                <w:ilvl w:val="0"/>
                <w:numId w:val="14"/>
              </w:numPr>
            </w:pPr>
            <w:r w:rsidRPr="003E5DF9">
              <w:t>Other disclosures, including: judgements and key assumptions and dividends</w:t>
            </w:r>
          </w:p>
          <w:p w14:paraId="5C8898CE" w14:textId="77777777" w:rsidR="00D46774" w:rsidRPr="003E5DF9" w:rsidRDefault="00D46774" w:rsidP="000C3BEC">
            <w:pPr>
              <w:pStyle w:val="Default"/>
            </w:pPr>
          </w:p>
        </w:tc>
        <w:tc>
          <w:tcPr>
            <w:tcW w:w="1170" w:type="dxa"/>
          </w:tcPr>
          <w:p w14:paraId="7F5B104B" w14:textId="77777777" w:rsidR="00D46774" w:rsidRPr="003E5DF9" w:rsidRDefault="00D46774" w:rsidP="000C3BEC">
            <w:pPr>
              <w:pStyle w:val="Default"/>
            </w:pPr>
          </w:p>
        </w:tc>
        <w:tc>
          <w:tcPr>
            <w:tcW w:w="1255" w:type="dxa"/>
          </w:tcPr>
          <w:p w14:paraId="638CF7F1" w14:textId="77777777" w:rsidR="00D46774" w:rsidRPr="003E5DF9" w:rsidRDefault="00D46774" w:rsidP="000C3BEC">
            <w:pPr>
              <w:pStyle w:val="Default"/>
            </w:pPr>
          </w:p>
        </w:tc>
      </w:tr>
      <w:tr w:rsidR="00D46774" w:rsidRPr="003E5DF9" w14:paraId="32528268" w14:textId="77777777" w:rsidTr="000C3BEC">
        <w:tc>
          <w:tcPr>
            <w:tcW w:w="570" w:type="dxa"/>
          </w:tcPr>
          <w:p w14:paraId="495E4C8C" w14:textId="77777777" w:rsidR="00D46774" w:rsidRPr="003E5DF9" w:rsidRDefault="007D47C7" w:rsidP="000C3BEC">
            <w:pPr>
              <w:pStyle w:val="Default"/>
            </w:pPr>
            <w:r>
              <w:t>6.0</w:t>
            </w:r>
          </w:p>
        </w:tc>
        <w:tc>
          <w:tcPr>
            <w:tcW w:w="2215" w:type="dxa"/>
          </w:tcPr>
          <w:p w14:paraId="41AB6CA7" w14:textId="77777777" w:rsidR="00D46774" w:rsidRPr="003E5DF9" w:rsidRDefault="00D46774" w:rsidP="000C3BEC">
            <w:pPr>
              <w:pStyle w:val="Default"/>
            </w:pPr>
            <w:r w:rsidRPr="003E5DF9">
              <w:t>Interpretation of accounting policies based on IFRS</w:t>
            </w:r>
          </w:p>
        </w:tc>
        <w:tc>
          <w:tcPr>
            <w:tcW w:w="4140" w:type="dxa"/>
          </w:tcPr>
          <w:p w14:paraId="68741BAE" w14:textId="77777777" w:rsidR="00D46774" w:rsidRPr="003E5DF9" w:rsidRDefault="00D46774" w:rsidP="00D46774">
            <w:pPr>
              <w:pStyle w:val="Default"/>
              <w:numPr>
                <w:ilvl w:val="0"/>
                <w:numId w:val="15"/>
              </w:numPr>
            </w:pPr>
            <w:r w:rsidRPr="003E5DF9">
              <w:t>Measurement and recognition of revenue</w:t>
            </w:r>
          </w:p>
          <w:p w14:paraId="4956DA52" w14:textId="77777777" w:rsidR="00D46774" w:rsidRPr="003E5DF9" w:rsidRDefault="00D46774" w:rsidP="00D46774">
            <w:pPr>
              <w:pStyle w:val="Default"/>
              <w:numPr>
                <w:ilvl w:val="0"/>
                <w:numId w:val="15"/>
              </w:numPr>
            </w:pPr>
            <w:r w:rsidRPr="003E5DF9">
              <w:t>Financial reporting by groups of companies</w:t>
            </w:r>
          </w:p>
          <w:p w14:paraId="24025C26" w14:textId="77777777" w:rsidR="00D46774" w:rsidRPr="003E5DF9" w:rsidRDefault="00D46774" w:rsidP="00D46774">
            <w:pPr>
              <w:pStyle w:val="Default"/>
              <w:numPr>
                <w:ilvl w:val="0"/>
                <w:numId w:val="15"/>
              </w:numPr>
            </w:pPr>
            <w:r w:rsidRPr="003E5DF9">
              <w:lastRenderedPageBreak/>
              <w:t>Accounting for business combinations, investment in subsidiaries</w:t>
            </w:r>
          </w:p>
          <w:p w14:paraId="0995E7EA" w14:textId="77777777" w:rsidR="00D46774" w:rsidRPr="003E5DF9" w:rsidRDefault="00D46774" w:rsidP="00D46774">
            <w:pPr>
              <w:pStyle w:val="Default"/>
              <w:numPr>
                <w:ilvl w:val="0"/>
                <w:numId w:val="15"/>
              </w:numPr>
            </w:pPr>
            <w:r w:rsidRPr="003E5DF9">
              <w:t>Circumstances in which the obligation to prepare consolidated accounts does not apply</w:t>
            </w:r>
          </w:p>
          <w:p w14:paraId="56EEA1C5" w14:textId="77777777" w:rsidR="00D46774" w:rsidRPr="003E5DF9" w:rsidRDefault="00D46774" w:rsidP="00D46774">
            <w:pPr>
              <w:pStyle w:val="Default"/>
              <w:numPr>
                <w:ilvl w:val="0"/>
                <w:numId w:val="15"/>
              </w:numPr>
            </w:pPr>
            <w:r w:rsidRPr="003E5DF9">
              <w:t>Multinational accounting</w:t>
            </w:r>
          </w:p>
          <w:p w14:paraId="1BC0F163" w14:textId="77777777" w:rsidR="00D46774" w:rsidRPr="003E5DF9" w:rsidRDefault="00D46774" w:rsidP="00D46774">
            <w:pPr>
              <w:pStyle w:val="Default"/>
              <w:numPr>
                <w:ilvl w:val="0"/>
                <w:numId w:val="15"/>
              </w:numPr>
            </w:pPr>
            <w:r w:rsidRPr="003E5DF9">
              <w:t>Application of IFRS to group scenarios</w:t>
            </w:r>
          </w:p>
        </w:tc>
        <w:tc>
          <w:tcPr>
            <w:tcW w:w="1170" w:type="dxa"/>
          </w:tcPr>
          <w:p w14:paraId="53F92F3E" w14:textId="77777777" w:rsidR="00D46774" w:rsidRPr="003E5DF9" w:rsidRDefault="00D46774" w:rsidP="000C3BEC">
            <w:pPr>
              <w:pStyle w:val="Default"/>
            </w:pPr>
            <w:r w:rsidRPr="003E5DF9">
              <w:lastRenderedPageBreak/>
              <w:t xml:space="preserve">4 hours </w:t>
            </w:r>
          </w:p>
        </w:tc>
        <w:tc>
          <w:tcPr>
            <w:tcW w:w="1255" w:type="dxa"/>
          </w:tcPr>
          <w:p w14:paraId="199633EB" w14:textId="77777777" w:rsidR="00D46774" w:rsidRPr="003E5DF9" w:rsidRDefault="00D46774" w:rsidP="000C3BEC">
            <w:pPr>
              <w:pStyle w:val="Default"/>
            </w:pPr>
            <w:r w:rsidRPr="003E5DF9">
              <w:t>6</w:t>
            </w:r>
          </w:p>
        </w:tc>
      </w:tr>
      <w:tr w:rsidR="00D46774" w:rsidRPr="003E5DF9" w14:paraId="1A4BE3F3" w14:textId="77777777" w:rsidTr="000C3BEC">
        <w:tc>
          <w:tcPr>
            <w:tcW w:w="570" w:type="dxa"/>
          </w:tcPr>
          <w:p w14:paraId="2261A6ED" w14:textId="77777777" w:rsidR="00D46774" w:rsidRPr="003E5DF9" w:rsidRDefault="007D47C7" w:rsidP="000C3BEC">
            <w:pPr>
              <w:pStyle w:val="Default"/>
            </w:pPr>
            <w:r>
              <w:t>7.0</w:t>
            </w:r>
          </w:p>
        </w:tc>
        <w:tc>
          <w:tcPr>
            <w:tcW w:w="2215" w:type="dxa"/>
          </w:tcPr>
          <w:p w14:paraId="174D8F18" w14:textId="77777777" w:rsidR="00D46774" w:rsidRPr="003E5DF9" w:rsidRDefault="00D46774" w:rsidP="000C3BEC">
            <w:pPr>
              <w:pStyle w:val="Default"/>
            </w:pPr>
            <w:r w:rsidRPr="003E5DF9">
              <w:t>Analysis and evaluation of financial statements</w:t>
            </w:r>
          </w:p>
        </w:tc>
        <w:tc>
          <w:tcPr>
            <w:tcW w:w="4140" w:type="dxa"/>
          </w:tcPr>
          <w:p w14:paraId="157739A7" w14:textId="77777777" w:rsidR="00D46774" w:rsidRPr="003E5DF9" w:rsidRDefault="00D46774" w:rsidP="00D46774">
            <w:pPr>
              <w:pStyle w:val="Default"/>
              <w:numPr>
                <w:ilvl w:val="0"/>
                <w:numId w:val="2"/>
              </w:numPr>
            </w:pPr>
            <w:r w:rsidRPr="003E5DF9">
              <w:t>Financial analysis methods including:</w:t>
            </w:r>
          </w:p>
          <w:p w14:paraId="19EB7C69" w14:textId="77777777" w:rsidR="00D46774" w:rsidRPr="003E5DF9" w:rsidRDefault="00D46774" w:rsidP="00D46774">
            <w:pPr>
              <w:pStyle w:val="Default"/>
              <w:numPr>
                <w:ilvl w:val="0"/>
                <w:numId w:val="5"/>
              </w:numPr>
            </w:pPr>
            <w:r w:rsidRPr="003E5DF9">
              <w:t>horizontal analysis between two periods</w:t>
            </w:r>
          </w:p>
          <w:p w14:paraId="7A107938" w14:textId="77777777" w:rsidR="00D46774" w:rsidRPr="003E5DF9" w:rsidRDefault="00D46774" w:rsidP="00D46774">
            <w:pPr>
              <w:pStyle w:val="Default"/>
              <w:numPr>
                <w:ilvl w:val="0"/>
                <w:numId w:val="5"/>
              </w:numPr>
            </w:pPr>
            <w:r w:rsidRPr="003E5DF9">
              <w:t>vertical analysis comparing financial data</w:t>
            </w:r>
          </w:p>
          <w:p w14:paraId="65075892" w14:textId="77777777" w:rsidR="00D46774" w:rsidRPr="003E5DF9" w:rsidRDefault="00D46774" w:rsidP="00D46774">
            <w:pPr>
              <w:pStyle w:val="Default"/>
              <w:numPr>
                <w:ilvl w:val="0"/>
                <w:numId w:val="5"/>
              </w:numPr>
            </w:pPr>
            <w:r w:rsidRPr="003E5DF9">
              <w:t>Use and limitations of ratio analysis to measure financial performance</w:t>
            </w:r>
          </w:p>
          <w:p w14:paraId="65DDC35C" w14:textId="77777777" w:rsidR="00D46774" w:rsidRPr="003E5DF9" w:rsidRDefault="00D46774" w:rsidP="00D46774">
            <w:pPr>
              <w:pStyle w:val="Default"/>
              <w:numPr>
                <w:ilvl w:val="0"/>
                <w:numId w:val="6"/>
              </w:numPr>
            </w:pPr>
            <w:r w:rsidRPr="003E5DF9">
              <w:t>Cash flow analysis</w:t>
            </w:r>
          </w:p>
          <w:p w14:paraId="079C96F6" w14:textId="77777777" w:rsidR="00D46774" w:rsidRPr="003E5DF9" w:rsidRDefault="00D46774" w:rsidP="00D46774">
            <w:pPr>
              <w:pStyle w:val="Default"/>
              <w:numPr>
                <w:ilvl w:val="0"/>
                <w:numId w:val="6"/>
              </w:numPr>
            </w:pPr>
            <w:r w:rsidRPr="003E5DF9">
              <w:t>Earnings management – use and limitations of earnings per share (EPS) analysis</w:t>
            </w:r>
          </w:p>
          <w:p w14:paraId="1D581C7B" w14:textId="77777777" w:rsidR="00D46774" w:rsidRPr="003E5DF9" w:rsidRDefault="00D46774" w:rsidP="00D46774">
            <w:pPr>
              <w:pStyle w:val="Default"/>
              <w:numPr>
                <w:ilvl w:val="0"/>
                <w:numId w:val="6"/>
              </w:numPr>
            </w:pPr>
            <w:r w:rsidRPr="003E5DF9">
              <w:t>Purpose and usefulness of value for money and economic value added (EVA) analysis</w:t>
            </w:r>
          </w:p>
          <w:p w14:paraId="58496E9A" w14:textId="77777777" w:rsidR="00D46774" w:rsidRPr="003E5DF9" w:rsidRDefault="00D46774" w:rsidP="00D46774">
            <w:pPr>
              <w:pStyle w:val="Default"/>
              <w:numPr>
                <w:ilvl w:val="0"/>
                <w:numId w:val="6"/>
              </w:numPr>
            </w:pPr>
            <w:r w:rsidRPr="003E5DF9">
              <w:t>Overtrading, financial distress and insolvency</w:t>
            </w:r>
          </w:p>
          <w:p w14:paraId="1424F492" w14:textId="77777777" w:rsidR="00D46774" w:rsidRPr="003E5DF9" w:rsidRDefault="00D46774" w:rsidP="000C3BEC">
            <w:pPr>
              <w:pStyle w:val="Default"/>
            </w:pPr>
          </w:p>
        </w:tc>
        <w:tc>
          <w:tcPr>
            <w:tcW w:w="1170" w:type="dxa"/>
          </w:tcPr>
          <w:p w14:paraId="68C74AB8" w14:textId="77777777" w:rsidR="00D46774" w:rsidRPr="003E5DF9" w:rsidRDefault="00D46774" w:rsidP="000C3BEC">
            <w:pPr>
              <w:pStyle w:val="Default"/>
            </w:pPr>
            <w:r w:rsidRPr="003E5DF9">
              <w:t xml:space="preserve">4 hours </w:t>
            </w:r>
          </w:p>
        </w:tc>
        <w:tc>
          <w:tcPr>
            <w:tcW w:w="1255" w:type="dxa"/>
          </w:tcPr>
          <w:p w14:paraId="408A7233" w14:textId="77777777" w:rsidR="00D46774" w:rsidRPr="003E5DF9" w:rsidRDefault="00D46774" w:rsidP="000C3BEC">
            <w:pPr>
              <w:pStyle w:val="Default"/>
            </w:pPr>
            <w:r w:rsidRPr="003E5DF9">
              <w:t>7</w:t>
            </w:r>
          </w:p>
        </w:tc>
      </w:tr>
      <w:tr w:rsidR="00D46774" w:rsidRPr="003E5DF9" w14:paraId="7A31FAFB" w14:textId="77777777" w:rsidTr="000C3BEC">
        <w:tc>
          <w:tcPr>
            <w:tcW w:w="570" w:type="dxa"/>
          </w:tcPr>
          <w:p w14:paraId="6C749773" w14:textId="77777777" w:rsidR="00D46774" w:rsidRPr="003E5DF9" w:rsidRDefault="007D47C7" w:rsidP="000C3BEC">
            <w:pPr>
              <w:pStyle w:val="Default"/>
            </w:pPr>
            <w:r>
              <w:t>8.0</w:t>
            </w:r>
          </w:p>
        </w:tc>
        <w:tc>
          <w:tcPr>
            <w:tcW w:w="2215" w:type="dxa"/>
          </w:tcPr>
          <w:p w14:paraId="4FE2FD21" w14:textId="77777777" w:rsidR="00D46774" w:rsidRPr="003E5DF9" w:rsidRDefault="00D46774" w:rsidP="000C3BEC">
            <w:pPr>
              <w:pStyle w:val="Default"/>
            </w:pPr>
            <w:r w:rsidRPr="003E5DF9">
              <w:t>Financial markets and market participants (Investor-Borrowers)</w:t>
            </w:r>
          </w:p>
          <w:p w14:paraId="5215B99F" w14:textId="77777777" w:rsidR="00D46774" w:rsidRPr="003E5DF9" w:rsidRDefault="00D46774" w:rsidP="000C3BEC">
            <w:pPr>
              <w:pStyle w:val="Default"/>
            </w:pPr>
          </w:p>
        </w:tc>
        <w:tc>
          <w:tcPr>
            <w:tcW w:w="4140" w:type="dxa"/>
          </w:tcPr>
          <w:p w14:paraId="267EF26A" w14:textId="77777777" w:rsidR="00D46774" w:rsidRPr="003E5DF9" w:rsidRDefault="00D46774" w:rsidP="00D46774">
            <w:pPr>
              <w:pStyle w:val="Default"/>
              <w:numPr>
                <w:ilvl w:val="0"/>
                <w:numId w:val="7"/>
              </w:numPr>
            </w:pPr>
            <w:r w:rsidRPr="003E5DF9">
              <w:t>Private versus public markets:</w:t>
            </w:r>
          </w:p>
          <w:p w14:paraId="6F268454" w14:textId="77777777" w:rsidR="00D46774" w:rsidRPr="003E5DF9" w:rsidRDefault="00D46774" w:rsidP="00D46774">
            <w:pPr>
              <w:pStyle w:val="Default"/>
              <w:numPr>
                <w:ilvl w:val="0"/>
                <w:numId w:val="7"/>
              </w:numPr>
            </w:pPr>
            <w:r w:rsidRPr="003E5DF9">
              <w:t>The role of other sources of finance, including</w:t>
            </w:r>
          </w:p>
          <w:p w14:paraId="33AF70B8" w14:textId="77777777" w:rsidR="00D46774" w:rsidRPr="003E5DF9" w:rsidRDefault="00D46774" w:rsidP="00D46774">
            <w:pPr>
              <w:pStyle w:val="Default"/>
              <w:numPr>
                <w:ilvl w:val="0"/>
                <w:numId w:val="7"/>
              </w:numPr>
            </w:pPr>
            <w:r w:rsidRPr="003E5DF9">
              <w:t xml:space="preserve"> Investor – borrower expectations </w:t>
            </w:r>
          </w:p>
        </w:tc>
        <w:tc>
          <w:tcPr>
            <w:tcW w:w="1170" w:type="dxa"/>
          </w:tcPr>
          <w:p w14:paraId="6C841364" w14:textId="77777777" w:rsidR="00D46774" w:rsidRPr="003E5DF9" w:rsidRDefault="00D46774" w:rsidP="000C3BEC">
            <w:pPr>
              <w:pStyle w:val="Default"/>
            </w:pPr>
            <w:r w:rsidRPr="003E5DF9">
              <w:t xml:space="preserve">4 hours </w:t>
            </w:r>
          </w:p>
        </w:tc>
        <w:tc>
          <w:tcPr>
            <w:tcW w:w="1255" w:type="dxa"/>
          </w:tcPr>
          <w:p w14:paraId="21E8C749" w14:textId="77777777" w:rsidR="00D46774" w:rsidRPr="003E5DF9" w:rsidRDefault="00D46774" w:rsidP="000C3BEC">
            <w:pPr>
              <w:pStyle w:val="Default"/>
            </w:pPr>
            <w:r w:rsidRPr="003E5DF9">
              <w:t>8</w:t>
            </w:r>
          </w:p>
        </w:tc>
      </w:tr>
      <w:tr w:rsidR="00D46774" w:rsidRPr="003E5DF9" w14:paraId="491B9519" w14:textId="77777777" w:rsidTr="000C3BEC">
        <w:tc>
          <w:tcPr>
            <w:tcW w:w="570" w:type="dxa"/>
          </w:tcPr>
          <w:p w14:paraId="6A76699D" w14:textId="77777777" w:rsidR="00D46774" w:rsidRPr="003E5DF9" w:rsidRDefault="007D47C7" w:rsidP="000C3BEC">
            <w:pPr>
              <w:pStyle w:val="Default"/>
            </w:pPr>
            <w:r>
              <w:t>9.0</w:t>
            </w:r>
          </w:p>
        </w:tc>
        <w:tc>
          <w:tcPr>
            <w:tcW w:w="2215" w:type="dxa"/>
          </w:tcPr>
          <w:p w14:paraId="5BBEA4BE" w14:textId="77777777" w:rsidR="00D46774" w:rsidRPr="003E5DF9" w:rsidRDefault="00D46774" w:rsidP="000C3BEC">
            <w:pPr>
              <w:pStyle w:val="Default"/>
            </w:pPr>
            <w:r w:rsidRPr="003E5DF9">
              <w:t>Sources of long-term (LT) and short-term (ST) finance and their associated risks and returns</w:t>
            </w:r>
          </w:p>
          <w:p w14:paraId="3BC2FEC4" w14:textId="77777777" w:rsidR="00D46774" w:rsidRPr="003E5DF9" w:rsidRDefault="00D46774" w:rsidP="000C3BEC">
            <w:pPr>
              <w:pStyle w:val="Default"/>
            </w:pPr>
          </w:p>
        </w:tc>
        <w:tc>
          <w:tcPr>
            <w:tcW w:w="4140" w:type="dxa"/>
          </w:tcPr>
          <w:p w14:paraId="42B474B4" w14:textId="77777777" w:rsidR="00D46774" w:rsidRPr="003E5DF9" w:rsidRDefault="00D46774" w:rsidP="00D46774">
            <w:pPr>
              <w:pStyle w:val="Default"/>
              <w:numPr>
                <w:ilvl w:val="0"/>
                <w:numId w:val="16"/>
              </w:numPr>
            </w:pPr>
            <w:r w:rsidRPr="003E5DF9">
              <w:t xml:space="preserve">Identification and evaluation of the features and use of various sources of </w:t>
            </w:r>
            <w:proofErr w:type="gramStart"/>
            <w:r w:rsidRPr="003E5DF9">
              <w:t>long term</w:t>
            </w:r>
            <w:proofErr w:type="gramEnd"/>
            <w:r w:rsidRPr="003E5DF9">
              <w:t xml:space="preserve"> finance</w:t>
            </w:r>
            <w:r w:rsidR="007D47C7">
              <w:t>:</w:t>
            </w:r>
          </w:p>
          <w:p w14:paraId="1FEDEC84" w14:textId="77777777" w:rsidR="00D46774" w:rsidRPr="003E5DF9" w:rsidRDefault="00D46774" w:rsidP="00D46774">
            <w:pPr>
              <w:pStyle w:val="Default"/>
              <w:numPr>
                <w:ilvl w:val="0"/>
                <w:numId w:val="16"/>
              </w:numPr>
            </w:pPr>
            <w:r w:rsidRPr="003E5DF9">
              <w:t>External sources of short-term finance</w:t>
            </w:r>
          </w:p>
          <w:p w14:paraId="0597569A" w14:textId="77777777" w:rsidR="00D46774" w:rsidRPr="003E5DF9" w:rsidRDefault="00D46774" w:rsidP="000C3BEC">
            <w:pPr>
              <w:pStyle w:val="Default"/>
            </w:pPr>
          </w:p>
        </w:tc>
        <w:tc>
          <w:tcPr>
            <w:tcW w:w="1170" w:type="dxa"/>
          </w:tcPr>
          <w:p w14:paraId="19E212D6" w14:textId="77777777" w:rsidR="00D46774" w:rsidRPr="003E5DF9" w:rsidRDefault="00D46774" w:rsidP="000C3BEC">
            <w:pPr>
              <w:pStyle w:val="Default"/>
            </w:pPr>
            <w:r w:rsidRPr="003E5DF9">
              <w:t xml:space="preserve">4 hours </w:t>
            </w:r>
          </w:p>
        </w:tc>
        <w:tc>
          <w:tcPr>
            <w:tcW w:w="1255" w:type="dxa"/>
          </w:tcPr>
          <w:p w14:paraId="10F95AC3" w14:textId="77777777" w:rsidR="00D46774" w:rsidRPr="003E5DF9" w:rsidRDefault="00D46774" w:rsidP="000C3BEC">
            <w:pPr>
              <w:pStyle w:val="Default"/>
            </w:pPr>
            <w:r w:rsidRPr="003E5DF9">
              <w:t>9</w:t>
            </w:r>
          </w:p>
        </w:tc>
      </w:tr>
      <w:tr w:rsidR="00D46774" w:rsidRPr="003E5DF9" w14:paraId="4C7EFA6B" w14:textId="77777777" w:rsidTr="000C3BEC">
        <w:tc>
          <w:tcPr>
            <w:tcW w:w="570" w:type="dxa"/>
          </w:tcPr>
          <w:p w14:paraId="4233CB01" w14:textId="77777777" w:rsidR="00D46774" w:rsidRPr="003E5DF9" w:rsidRDefault="007D47C7" w:rsidP="000C3BEC">
            <w:pPr>
              <w:pStyle w:val="Default"/>
            </w:pPr>
            <w:r>
              <w:t>10.0</w:t>
            </w:r>
          </w:p>
        </w:tc>
        <w:tc>
          <w:tcPr>
            <w:tcW w:w="2215" w:type="dxa"/>
          </w:tcPr>
          <w:p w14:paraId="57FFC6EB" w14:textId="77777777" w:rsidR="00D46774" w:rsidRPr="003E5DF9" w:rsidRDefault="00D46774" w:rsidP="000C3BEC">
            <w:pPr>
              <w:pStyle w:val="Default"/>
            </w:pPr>
            <w:r w:rsidRPr="003E5DF9">
              <w:t>Capital structure and cost of capital and working capital management</w:t>
            </w:r>
          </w:p>
          <w:p w14:paraId="0A7F123F" w14:textId="77777777" w:rsidR="00D46774" w:rsidRPr="003E5DF9" w:rsidRDefault="00D46774" w:rsidP="000C3BEC">
            <w:pPr>
              <w:pStyle w:val="Default"/>
            </w:pPr>
          </w:p>
        </w:tc>
        <w:tc>
          <w:tcPr>
            <w:tcW w:w="4140" w:type="dxa"/>
          </w:tcPr>
          <w:p w14:paraId="47EBAB71" w14:textId="77777777" w:rsidR="00D46774" w:rsidRPr="003E5DF9" w:rsidRDefault="00D46774" w:rsidP="00D46774">
            <w:pPr>
              <w:pStyle w:val="Default"/>
              <w:numPr>
                <w:ilvl w:val="0"/>
                <w:numId w:val="9"/>
              </w:numPr>
            </w:pPr>
            <w:r w:rsidRPr="003E5DF9">
              <w:t>Factors that determine capital structure in companies</w:t>
            </w:r>
          </w:p>
          <w:p w14:paraId="371CDC80" w14:textId="77777777" w:rsidR="00D46774" w:rsidRPr="003E5DF9" w:rsidRDefault="00D46774" w:rsidP="00D46774">
            <w:pPr>
              <w:pStyle w:val="Default"/>
              <w:numPr>
                <w:ilvl w:val="0"/>
                <w:numId w:val="9"/>
              </w:numPr>
            </w:pPr>
            <w:r w:rsidRPr="003E5DF9">
              <w:t>Evaluation of financial models related to the capital structure decision</w:t>
            </w:r>
          </w:p>
          <w:p w14:paraId="6943FB28" w14:textId="77777777" w:rsidR="00D46774" w:rsidRPr="003E5DF9" w:rsidRDefault="00D46774" w:rsidP="00D46774">
            <w:pPr>
              <w:pStyle w:val="Default"/>
              <w:numPr>
                <w:ilvl w:val="0"/>
                <w:numId w:val="9"/>
              </w:numPr>
            </w:pPr>
            <w:r w:rsidRPr="003E5DF9">
              <w:t>Equity capital including:</w:t>
            </w:r>
          </w:p>
          <w:p w14:paraId="70071382" w14:textId="77777777" w:rsidR="00D46774" w:rsidRPr="003E5DF9" w:rsidRDefault="00D46774" w:rsidP="00D46774">
            <w:pPr>
              <w:pStyle w:val="Default"/>
              <w:numPr>
                <w:ilvl w:val="0"/>
                <w:numId w:val="9"/>
              </w:numPr>
            </w:pPr>
            <w:r w:rsidRPr="003E5DF9">
              <w:t>Capital gearing:</w:t>
            </w:r>
          </w:p>
          <w:p w14:paraId="5A84443B" w14:textId="77777777" w:rsidR="00D46774" w:rsidRPr="003E5DF9" w:rsidRDefault="00D46774" w:rsidP="00D46774">
            <w:pPr>
              <w:pStyle w:val="Default"/>
              <w:numPr>
                <w:ilvl w:val="0"/>
                <w:numId w:val="9"/>
              </w:numPr>
            </w:pPr>
            <w:r w:rsidRPr="003E5DF9">
              <w:lastRenderedPageBreak/>
              <w:t xml:space="preserve">the capital structure debate – traditional versus Modigliani-Miller arguments and the impact of </w:t>
            </w:r>
            <w:proofErr w:type="gramStart"/>
            <w:r w:rsidRPr="003E5DF9">
              <w:t>real world</w:t>
            </w:r>
            <w:proofErr w:type="gramEnd"/>
            <w:r w:rsidRPr="003E5DF9">
              <w:t xml:space="preserve"> factors</w:t>
            </w:r>
          </w:p>
          <w:p w14:paraId="1F3A7BC1" w14:textId="77777777" w:rsidR="00D46774" w:rsidRPr="003E5DF9" w:rsidRDefault="00D46774" w:rsidP="00D46774">
            <w:pPr>
              <w:pStyle w:val="Default"/>
              <w:numPr>
                <w:ilvl w:val="0"/>
                <w:numId w:val="9"/>
              </w:numPr>
            </w:pPr>
            <w:r w:rsidRPr="003E5DF9">
              <w:t>The concept of financial risk in relation to gearing</w:t>
            </w:r>
          </w:p>
          <w:p w14:paraId="21AA594E" w14:textId="77777777" w:rsidR="00D46774" w:rsidRPr="003E5DF9" w:rsidRDefault="00D46774" w:rsidP="00D46774">
            <w:pPr>
              <w:pStyle w:val="Default"/>
              <w:numPr>
                <w:ilvl w:val="0"/>
                <w:numId w:val="9"/>
              </w:numPr>
            </w:pPr>
            <w:r w:rsidRPr="003E5DF9">
              <w:t>The concept of business risk in relation to areas of operation and to the proportion of fixed overhead in their cost structure</w:t>
            </w:r>
          </w:p>
          <w:p w14:paraId="1F30D609" w14:textId="77777777" w:rsidR="00D46774" w:rsidRPr="003E5DF9" w:rsidRDefault="00D46774" w:rsidP="00D46774">
            <w:pPr>
              <w:pStyle w:val="Default"/>
              <w:numPr>
                <w:ilvl w:val="0"/>
                <w:numId w:val="9"/>
              </w:numPr>
            </w:pPr>
            <w:r w:rsidRPr="003E5DF9">
              <w:t>Weighted Average Cost of Capital (WACC), including selection of an appropriate cost of capital for use in valuation</w:t>
            </w:r>
          </w:p>
          <w:p w14:paraId="2F8FE2CC" w14:textId="77777777" w:rsidR="00D46774" w:rsidRPr="003E5DF9" w:rsidRDefault="00D46774" w:rsidP="00D46774">
            <w:pPr>
              <w:pStyle w:val="Default"/>
              <w:numPr>
                <w:ilvl w:val="0"/>
                <w:numId w:val="9"/>
              </w:numPr>
            </w:pPr>
            <w:r w:rsidRPr="003E5DF9">
              <w:t>Dividend or internal investment</w:t>
            </w:r>
          </w:p>
        </w:tc>
        <w:tc>
          <w:tcPr>
            <w:tcW w:w="1170" w:type="dxa"/>
          </w:tcPr>
          <w:p w14:paraId="3DFC898C" w14:textId="77777777" w:rsidR="00D46774" w:rsidRPr="003E5DF9" w:rsidRDefault="00D46774" w:rsidP="000C3BEC">
            <w:pPr>
              <w:pStyle w:val="Default"/>
            </w:pPr>
            <w:r w:rsidRPr="003E5DF9">
              <w:lastRenderedPageBreak/>
              <w:t xml:space="preserve">4 hours </w:t>
            </w:r>
          </w:p>
        </w:tc>
        <w:tc>
          <w:tcPr>
            <w:tcW w:w="1255" w:type="dxa"/>
          </w:tcPr>
          <w:p w14:paraId="1C3586BE" w14:textId="77777777" w:rsidR="00D46774" w:rsidRPr="003E5DF9" w:rsidRDefault="00D46774" w:rsidP="000C3BEC">
            <w:pPr>
              <w:pStyle w:val="Default"/>
            </w:pPr>
            <w:r w:rsidRPr="003E5DF9">
              <w:t>10</w:t>
            </w:r>
          </w:p>
        </w:tc>
      </w:tr>
      <w:tr w:rsidR="00D46774" w:rsidRPr="003E5DF9" w14:paraId="6E5A22E5" w14:textId="77777777" w:rsidTr="000C3BEC">
        <w:tc>
          <w:tcPr>
            <w:tcW w:w="570" w:type="dxa"/>
          </w:tcPr>
          <w:p w14:paraId="3E59BB14" w14:textId="77777777" w:rsidR="00D46774" w:rsidRPr="003E5DF9" w:rsidRDefault="007D47C7" w:rsidP="000C3BEC">
            <w:pPr>
              <w:pStyle w:val="Default"/>
            </w:pPr>
            <w:r>
              <w:t>11.0</w:t>
            </w:r>
          </w:p>
        </w:tc>
        <w:tc>
          <w:tcPr>
            <w:tcW w:w="2215" w:type="dxa"/>
          </w:tcPr>
          <w:p w14:paraId="136AD0CD" w14:textId="77777777" w:rsidR="00D46774" w:rsidRPr="003E5DF9" w:rsidRDefault="00D46774" w:rsidP="000C3BEC">
            <w:pPr>
              <w:pStyle w:val="Default"/>
            </w:pPr>
            <w:r w:rsidRPr="003E5DF9">
              <w:t>Financial decisions for investing in equities</w:t>
            </w:r>
          </w:p>
        </w:tc>
        <w:tc>
          <w:tcPr>
            <w:tcW w:w="4140" w:type="dxa"/>
          </w:tcPr>
          <w:p w14:paraId="03D8F67C" w14:textId="77777777" w:rsidR="00D46774" w:rsidRPr="003E5DF9" w:rsidRDefault="00D46774" w:rsidP="00D46774">
            <w:pPr>
              <w:pStyle w:val="Default"/>
              <w:numPr>
                <w:ilvl w:val="0"/>
                <w:numId w:val="10"/>
              </w:numPr>
            </w:pPr>
            <w:r w:rsidRPr="003E5DF9">
              <w:t>Investment decisions, criteria the need for investment appraisal</w:t>
            </w:r>
          </w:p>
          <w:p w14:paraId="35749464" w14:textId="77777777" w:rsidR="00D46774" w:rsidRPr="003E5DF9" w:rsidRDefault="00D46774" w:rsidP="00D46774">
            <w:pPr>
              <w:pStyle w:val="Default"/>
              <w:numPr>
                <w:ilvl w:val="0"/>
                <w:numId w:val="10"/>
              </w:numPr>
            </w:pPr>
            <w:r w:rsidRPr="003E5DF9">
              <w:t>Investor risk and return and different risk assessment models, including:</w:t>
            </w:r>
          </w:p>
          <w:p w14:paraId="546D93A6" w14:textId="77777777" w:rsidR="00D46774" w:rsidRPr="003E5DF9" w:rsidRDefault="00D46774" w:rsidP="00D46774">
            <w:pPr>
              <w:pStyle w:val="Default"/>
              <w:numPr>
                <w:ilvl w:val="0"/>
                <w:numId w:val="10"/>
              </w:numPr>
            </w:pPr>
            <w:r w:rsidRPr="003E5DF9">
              <w:t>Use of portfolios, including:</w:t>
            </w:r>
          </w:p>
          <w:p w14:paraId="0AC6208C" w14:textId="77777777" w:rsidR="00D46774" w:rsidRPr="003E5DF9" w:rsidRDefault="00D46774" w:rsidP="00D46774">
            <w:pPr>
              <w:pStyle w:val="Default"/>
              <w:numPr>
                <w:ilvl w:val="0"/>
                <w:numId w:val="10"/>
              </w:numPr>
            </w:pPr>
            <w:r w:rsidRPr="003E5DF9">
              <w:t>The problem of risk and the risk preferences of investors, including risk versus risk-free investments</w:t>
            </w:r>
          </w:p>
          <w:p w14:paraId="6DDB5B25" w14:textId="77777777" w:rsidR="00D46774" w:rsidRPr="003E5DF9" w:rsidRDefault="00D46774" w:rsidP="00D46774">
            <w:pPr>
              <w:pStyle w:val="Default"/>
              <w:numPr>
                <w:ilvl w:val="0"/>
                <w:numId w:val="10"/>
              </w:numPr>
            </w:pPr>
            <w:r w:rsidRPr="003E5DF9">
              <w:t>Economic outlook and forecasts of interest rates and market return, including:</w:t>
            </w:r>
          </w:p>
          <w:p w14:paraId="134494CD" w14:textId="77777777" w:rsidR="00D46774" w:rsidRPr="003E5DF9" w:rsidRDefault="00D46774" w:rsidP="00D46774">
            <w:pPr>
              <w:pStyle w:val="Default"/>
              <w:numPr>
                <w:ilvl w:val="0"/>
                <w:numId w:val="10"/>
              </w:numPr>
            </w:pPr>
            <w:r w:rsidRPr="003E5DF9">
              <w:t>indifference curves</w:t>
            </w:r>
          </w:p>
        </w:tc>
        <w:tc>
          <w:tcPr>
            <w:tcW w:w="1170" w:type="dxa"/>
          </w:tcPr>
          <w:p w14:paraId="490D47C6" w14:textId="77777777" w:rsidR="00D46774" w:rsidRPr="003E5DF9" w:rsidRDefault="00D46774" w:rsidP="000C3BEC">
            <w:pPr>
              <w:pStyle w:val="Default"/>
            </w:pPr>
            <w:r w:rsidRPr="003E5DF9">
              <w:t xml:space="preserve">4 hours </w:t>
            </w:r>
          </w:p>
        </w:tc>
        <w:tc>
          <w:tcPr>
            <w:tcW w:w="1255" w:type="dxa"/>
          </w:tcPr>
          <w:p w14:paraId="1D8765D3" w14:textId="77777777" w:rsidR="00D46774" w:rsidRPr="003E5DF9" w:rsidRDefault="00D46774" w:rsidP="000C3BEC">
            <w:pPr>
              <w:pStyle w:val="Default"/>
            </w:pPr>
            <w:r w:rsidRPr="003E5DF9">
              <w:t>11</w:t>
            </w:r>
          </w:p>
        </w:tc>
      </w:tr>
      <w:tr w:rsidR="00D46774" w:rsidRPr="003E5DF9" w14:paraId="15CC24DF" w14:textId="77777777" w:rsidTr="000C3BEC">
        <w:tc>
          <w:tcPr>
            <w:tcW w:w="570" w:type="dxa"/>
          </w:tcPr>
          <w:p w14:paraId="12F9A3D4" w14:textId="77777777" w:rsidR="00D46774" w:rsidRPr="003E5DF9" w:rsidRDefault="007D47C7" w:rsidP="000C3BEC">
            <w:pPr>
              <w:pStyle w:val="Default"/>
            </w:pPr>
            <w:r>
              <w:t>12.0</w:t>
            </w:r>
          </w:p>
        </w:tc>
        <w:tc>
          <w:tcPr>
            <w:tcW w:w="2215" w:type="dxa"/>
          </w:tcPr>
          <w:p w14:paraId="0E0EC094" w14:textId="77777777" w:rsidR="00D46774" w:rsidRPr="003E5DF9" w:rsidRDefault="00D46774" w:rsidP="000C3BEC">
            <w:pPr>
              <w:pStyle w:val="Default"/>
            </w:pPr>
            <w:r w:rsidRPr="003E5DF9">
              <w:t>Company analysis and business valuation methods for making financial decisions plus shareholder value analysis</w:t>
            </w:r>
          </w:p>
        </w:tc>
        <w:tc>
          <w:tcPr>
            <w:tcW w:w="4140" w:type="dxa"/>
          </w:tcPr>
          <w:p w14:paraId="66FEA8F5" w14:textId="77777777" w:rsidR="00D46774" w:rsidRPr="003E5DF9" w:rsidRDefault="00D46774" w:rsidP="00D46774">
            <w:pPr>
              <w:pStyle w:val="Default"/>
              <w:numPr>
                <w:ilvl w:val="0"/>
                <w:numId w:val="8"/>
              </w:numPr>
            </w:pPr>
            <w:r w:rsidRPr="003E5DF9">
              <w:t>Financial statement analysis</w:t>
            </w:r>
          </w:p>
          <w:p w14:paraId="52A4ABE0" w14:textId="77777777" w:rsidR="00D46774" w:rsidRPr="003E5DF9" w:rsidRDefault="00D46774" w:rsidP="00D46774">
            <w:pPr>
              <w:pStyle w:val="Default"/>
              <w:numPr>
                <w:ilvl w:val="0"/>
                <w:numId w:val="11"/>
              </w:numPr>
            </w:pPr>
            <w:r w:rsidRPr="003E5DF9">
              <w:t>Relative value measures</w:t>
            </w:r>
          </w:p>
          <w:p w14:paraId="1262874C" w14:textId="77777777" w:rsidR="00D46774" w:rsidRPr="003E5DF9" w:rsidRDefault="00D46774" w:rsidP="00D46774">
            <w:pPr>
              <w:pStyle w:val="Default"/>
              <w:numPr>
                <w:ilvl w:val="0"/>
                <w:numId w:val="11"/>
              </w:numPr>
            </w:pPr>
            <w:r w:rsidRPr="003E5DF9">
              <w:t>Discounted cash flow (DCF) models – to estimate the attractiveness of an investment opportunity</w:t>
            </w:r>
          </w:p>
          <w:p w14:paraId="68ED16B2" w14:textId="77777777" w:rsidR="00D46774" w:rsidRPr="003E5DF9" w:rsidRDefault="00D46774" w:rsidP="00D46774">
            <w:pPr>
              <w:pStyle w:val="Default"/>
              <w:numPr>
                <w:ilvl w:val="0"/>
                <w:numId w:val="11"/>
              </w:numPr>
            </w:pPr>
            <w:r w:rsidRPr="003E5DF9">
              <w:t>Efficient market hypothesis and its application to business valuations</w:t>
            </w:r>
          </w:p>
          <w:p w14:paraId="6A8C8B52" w14:textId="77777777" w:rsidR="00D46774" w:rsidRPr="003E5DF9" w:rsidRDefault="00D46774" w:rsidP="00D46774">
            <w:pPr>
              <w:pStyle w:val="Default"/>
              <w:numPr>
                <w:ilvl w:val="0"/>
                <w:numId w:val="11"/>
              </w:numPr>
            </w:pPr>
            <w:r w:rsidRPr="003E5DF9">
              <w:t>Earnings per share (EPS)</w:t>
            </w:r>
          </w:p>
          <w:p w14:paraId="2CC9AEC5" w14:textId="77777777" w:rsidR="00D46774" w:rsidRPr="003E5DF9" w:rsidRDefault="00D46774" w:rsidP="00D46774">
            <w:pPr>
              <w:pStyle w:val="Default"/>
              <w:numPr>
                <w:ilvl w:val="0"/>
                <w:numId w:val="11"/>
              </w:numPr>
            </w:pPr>
            <w:r w:rsidRPr="003E5DF9">
              <w:t>Dividend Discount Model (DDM) (also known as Gordon’s Growth Model)</w:t>
            </w:r>
          </w:p>
          <w:p w14:paraId="50427735" w14:textId="77777777" w:rsidR="00D46774" w:rsidRPr="003E5DF9" w:rsidRDefault="00D46774" w:rsidP="00D46774">
            <w:pPr>
              <w:pStyle w:val="Default"/>
              <w:numPr>
                <w:ilvl w:val="0"/>
                <w:numId w:val="11"/>
              </w:numPr>
            </w:pPr>
            <w:r w:rsidRPr="003E5DF9">
              <w:lastRenderedPageBreak/>
              <w:t>Capital Asset Pricing Model (CAPM), systematic risk, β factor, α values</w:t>
            </w:r>
          </w:p>
          <w:p w14:paraId="20E41C93" w14:textId="77777777" w:rsidR="00D46774" w:rsidRPr="003E5DF9" w:rsidRDefault="00D46774" w:rsidP="00D46774">
            <w:pPr>
              <w:pStyle w:val="Default"/>
              <w:numPr>
                <w:ilvl w:val="0"/>
                <w:numId w:val="11"/>
              </w:numPr>
            </w:pPr>
            <w:r w:rsidRPr="003E5DF9">
              <w:t>Price/earnings (P/E) ratio</w:t>
            </w:r>
          </w:p>
          <w:p w14:paraId="6A28F197" w14:textId="77777777" w:rsidR="00D46774" w:rsidRPr="003E5DF9" w:rsidRDefault="00D46774" w:rsidP="00D46774">
            <w:pPr>
              <w:pStyle w:val="Default"/>
              <w:numPr>
                <w:ilvl w:val="0"/>
                <w:numId w:val="11"/>
              </w:numPr>
            </w:pPr>
            <w:r w:rsidRPr="003E5DF9">
              <w:t>Value creation</w:t>
            </w:r>
          </w:p>
          <w:p w14:paraId="3FC924EB" w14:textId="77777777" w:rsidR="00D46774" w:rsidRPr="003E5DF9" w:rsidRDefault="00D46774" w:rsidP="00D46774">
            <w:pPr>
              <w:pStyle w:val="Default"/>
              <w:numPr>
                <w:ilvl w:val="0"/>
                <w:numId w:val="11"/>
              </w:numPr>
            </w:pPr>
            <w:r w:rsidRPr="003E5DF9">
              <w:t>Value drivers including:</w:t>
            </w:r>
          </w:p>
          <w:p w14:paraId="229A16E7" w14:textId="77777777" w:rsidR="00D46774" w:rsidRPr="003E5DF9" w:rsidRDefault="00D46774" w:rsidP="00D46774">
            <w:pPr>
              <w:pStyle w:val="Default"/>
              <w:numPr>
                <w:ilvl w:val="0"/>
                <w:numId w:val="11"/>
              </w:numPr>
            </w:pPr>
            <w:r w:rsidRPr="003E5DF9">
              <w:t>Strengths and weaknesses of SVA</w:t>
            </w:r>
          </w:p>
          <w:p w14:paraId="0C6D52FE" w14:textId="77777777" w:rsidR="00D46774" w:rsidRPr="003E5DF9" w:rsidRDefault="00D46774" w:rsidP="00D46774">
            <w:pPr>
              <w:pStyle w:val="Default"/>
              <w:numPr>
                <w:ilvl w:val="0"/>
                <w:numId w:val="11"/>
              </w:numPr>
            </w:pPr>
            <w:r w:rsidRPr="003E5DF9">
              <w:t>Economic value added (EVA) as an alternative to SVA</w:t>
            </w:r>
          </w:p>
          <w:p w14:paraId="5915A128" w14:textId="77777777" w:rsidR="00D46774" w:rsidRPr="003E5DF9" w:rsidRDefault="00D46774" w:rsidP="00D46774">
            <w:pPr>
              <w:pStyle w:val="Default"/>
              <w:numPr>
                <w:ilvl w:val="0"/>
                <w:numId w:val="11"/>
              </w:numPr>
            </w:pPr>
            <w:r w:rsidRPr="003E5DF9">
              <w:t>Measuring value creation:</w:t>
            </w:r>
          </w:p>
        </w:tc>
        <w:tc>
          <w:tcPr>
            <w:tcW w:w="1170" w:type="dxa"/>
          </w:tcPr>
          <w:p w14:paraId="2DD44EEE" w14:textId="77777777" w:rsidR="00D46774" w:rsidRPr="003E5DF9" w:rsidRDefault="00D46774" w:rsidP="000C3BEC">
            <w:pPr>
              <w:pStyle w:val="Default"/>
            </w:pPr>
            <w:r w:rsidRPr="003E5DF9">
              <w:lastRenderedPageBreak/>
              <w:t xml:space="preserve">4 hours </w:t>
            </w:r>
          </w:p>
        </w:tc>
        <w:tc>
          <w:tcPr>
            <w:tcW w:w="1255" w:type="dxa"/>
          </w:tcPr>
          <w:p w14:paraId="44E4BA4E" w14:textId="77777777" w:rsidR="00D46774" w:rsidRPr="003E5DF9" w:rsidRDefault="00D46774" w:rsidP="000C3BEC">
            <w:pPr>
              <w:pStyle w:val="Default"/>
            </w:pPr>
            <w:r w:rsidRPr="003E5DF9">
              <w:t>12</w:t>
            </w:r>
          </w:p>
        </w:tc>
      </w:tr>
      <w:tr w:rsidR="00D46774" w:rsidRPr="003E5DF9" w14:paraId="4404D832" w14:textId="77777777" w:rsidTr="000C3BEC">
        <w:tc>
          <w:tcPr>
            <w:tcW w:w="570" w:type="dxa"/>
          </w:tcPr>
          <w:p w14:paraId="53AF2D04" w14:textId="77777777" w:rsidR="00D46774" w:rsidRPr="003E5DF9" w:rsidRDefault="007D47C7" w:rsidP="000C3BEC">
            <w:pPr>
              <w:pStyle w:val="Default"/>
            </w:pPr>
            <w:r>
              <w:t>13.0</w:t>
            </w:r>
          </w:p>
        </w:tc>
        <w:tc>
          <w:tcPr>
            <w:tcW w:w="2215" w:type="dxa"/>
          </w:tcPr>
          <w:p w14:paraId="025EE087" w14:textId="77777777" w:rsidR="00D46774" w:rsidRPr="003E5DF9" w:rsidRDefault="00D46774" w:rsidP="000C3BEC">
            <w:pPr>
              <w:pStyle w:val="Default"/>
            </w:pPr>
            <w:r w:rsidRPr="003E5DF9">
              <w:t>Financial decisions for investing in projects and Monitoring and controlling of investment projects</w:t>
            </w:r>
          </w:p>
        </w:tc>
        <w:tc>
          <w:tcPr>
            <w:tcW w:w="4140" w:type="dxa"/>
          </w:tcPr>
          <w:p w14:paraId="0CD84801" w14:textId="77777777" w:rsidR="00D46774" w:rsidRPr="003E5DF9" w:rsidRDefault="00D46774" w:rsidP="00D46774">
            <w:pPr>
              <w:pStyle w:val="Default"/>
              <w:numPr>
                <w:ilvl w:val="0"/>
                <w:numId w:val="12"/>
              </w:numPr>
            </w:pPr>
            <w:r w:rsidRPr="003E5DF9">
              <w:t>Identification and analysis of a project’s:</w:t>
            </w:r>
          </w:p>
          <w:p w14:paraId="604F013E" w14:textId="77777777" w:rsidR="00D46774" w:rsidRPr="003E5DF9" w:rsidRDefault="00D46774" w:rsidP="00D46774">
            <w:pPr>
              <w:pStyle w:val="Default"/>
              <w:numPr>
                <w:ilvl w:val="0"/>
                <w:numId w:val="12"/>
              </w:numPr>
            </w:pPr>
            <w:r w:rsidRPr="003E5DF9">
              <w:t>Factors in project appraisal:</w:t>
            </w:r>
          </w:p>
          <w:p w14:paraId="51EF7ECE" w14:textId="77777777" w:rsidR="00D46774" w:rsidRPr="003E5DF9" w:rsidRDefault="00D46774" w:rsidP="00D46774">
            <w:pPr>
              <w:pStyle w:val="Default"/>
              <w:numPr>
                <w:ilvl w:val="0"/>
                <w:numId w:val="12"/>
              </w:numPr>
            </w:pPr>
            <w:r w:rsidRPr="003E5DF9">
              <w:t>Project appraisal techniques, including:</w:t>
            </w:r>
          </w:p>
          <w:p w14:paraId="6BE086D7" w14:textId="77777777" w:rsidR="00D46774" w:rsidRPr="003E5DF9" w:rsidRDefault="00D46774" w:rsidP="00D46774">
            <w:pPr>
              <w:pStyle w:val="Default"/>
              <w:numPr>
                <w:ilvl w:val="0"/>
                <w:numId w:val="12"/>
              </w:numPr>
            </w:pPr>
            <w:r w:rsidRPr="003E5DF9">
              <w:t>factors affecting project appraisal:</w:t>
            </w:r>
          </w:p>
          <w:p w14:paraId="1FA1D66D" w14:textId="77777777" w:rsidR="00D46774" w:rsidRPr="003E5DF9" w:rsidRDefault="00D46774" w:rsidP="00D46774">
            <w:pPr>
              <w:pStyle w:val="Default"/>
              <w:numPr>
                <w:ilvl w:val="0"/>
                <w:numId w:val="12"/>
              </w:numPr>
            </w:pPr>
            <w:r w:rsidRPr="003E5DF9">
              <w:t>Advantages, disadvantages and appropriateness of investment appraisal methods in different circumstances</w:t>
            </w:r>
          </w:p>
          <w:p w14:paraId="1EABD1DE" w14:textId="77777777" w:rsidR="00D46774" w:rsidRPr="003E5DF9" w:rsidRDefault="00D46774" w:rsidP="00D46774">
            <w:pPr>
              <w:pStyle w:val="Default"/>
              <w:numPr>
                <w:ilvl w:val="0"/>
                <w:numId w:val="12"/>
              </w:numPr>
            </w:pPr>
            <w:r w:rsidRPr="003E5DF9">
              <w:t>Evaluating projects with unequal costs and service lives</w:t>
            </w:r>
          </w:p>
          <w:p w14:paraId="409EE2F4" w14:textId="77777777" w:rsidR="00D46774" w:rsidRPr="003E5DF9" w:rsidRDefault="00D46774" w:rsidP="00D46774">
            <w:pPr>
              <w:pStyle w:val="Default"/>
              <w:numPr>
                <w:ilvl w:val="0"/>
                <w:numId w:val="12"/>
              </w:numPr>
            </w:pPr>
            <w:r w:rsidRPr="003E5DF9">
              <w:t>Profitability index (benefit–cost ratio) and its use in capital rationing situations, including:</w:t>
            </w:r>
          </w:p>
          <w:p w14:paraId="2A75720D" w14:textId="77777777" w:rsidR="00D46774" w:rsidRPr="003E5DF9" w:rsidRDefault="00D46774" w:rsidP="00D46774">
            <w:pPr>
              <w:pStyle w:val="Default"/>
              <w:numPr>
                <w:ilvl w:val="0"/>
                <w:numId w:val="12"/>
              </w:numPr>
            </w:pPr>
            <w:r w:rsidRPr="003E5DF9">
              <w:t>Use and purpose of budgeting and budgetary control:</w:t>
            </w:r>
          </w:p>
        </w:tc>
        <w:tc>
          <w:tcPr>
            <w:tcW w:w="1170" w:type="dxa"/>
          </w:tcPr>
          <w:p w14:paraId="76A5142B" w14:textId="77777777" w:rsidR="00D46774" w:rsidRPr="003E5DF9" w:rsidRDefault="00D46774" w:rsidP="000C3BEC">
            <w:pPr>
              <w:pStyle w:val="Default"/>
            </w:pPr>
            <w:r w:rsidRPr="003E5DF9">
              <w:t xml:space="preserve">4 hours </w:t>
            </w:r>
          </w:p>
        </w:tc>
        <w:tc>
          <w:tcPr>
            <w:tcW w:w="1255" w:type="dxa"/>
          </w:tcPr>
          <w:p w14:paraId="36039F59" w14:textId="77777777" w:rsidR="00D46774" w:rsidRPr="003E5DF9" w:rsidRDefault="00D46774" w:rsidP="000C3BEC">
            <w:pPr>
              <w:pStyle w:val="Default"/>
            </w:pPr>
            <w:r w:rsidRPr="003E5DF9">
              <w:t>13</w:t>
            </w:r>
          </w:p>
        </w:tc>
      </w:tr>
    </w:tbl>
    <w:p w14:paraId="08E6DF38" w14:textId="77777777" w:rsidR="00D46774" w:rsidRPr="003E5DF9" w:rsidRDefault="00D46774" w:rsidP="00D46774">
      <w:pPr>
        <w:pStyle w:val="Default"/>
      </w:pPr>
    </w:p>
    <w:p w14:paraId="1C0E0DC9" w14:textId="77777777" w:rsidR="007D47C7" w:rsidRPr="003E5DF9" w:rsidRDefault="007D47C7" w:rsidP="007D47C7">
      <w:pPr>
        <w:pStyle w:val="Default"/>
        <w:rPr>
          <w:b/>
        </w:rPr>
      </w:pPr>
      <w:r w:rsidRPr="003E5DF9">
        <w:rPr>
          <w:b/>
        </w:rPr>
        <w:t>Mode of delivery</w:t>
      </w:r>
    </w:p>
    <w:p w14:paraId="62339276" w14:textId="77777777" w:rsidR="007D47C7" w:rsidRPr="003E5DF9" w:rsidRDefault="007D47C7" w:rsidP="007D47C7">
      <w:pPr>
        <w:pStyle w:val="Default"/>
        <w:numPr>
          <w:ilvl w:val="0"/>
          <w:numId w:val="13"/>
        </w:numPr>
      </w:pPr>
      <w:r w:rsidRPr="003E5DF9">
        <w:t>Lectures</w:t>
      </w:r>
    </w:p>
    <w:p w14:paraId="6F86ACC7" w14:textId="77777777" w:rsidR="007D47C7" w:rsidRPr="003E5DF9" w:rsidRDefault="007D47C7" w:rsidP="007D47C7">
      <w:pPr>
        <w:pStyle w:val="Default"/>
        <w:numPr>
          <w:ilvl w:val="0"/>
          <w:numId w:val="13"/>
        </w:numPr>
      </w:pPr>
      <w:r w:rsidRPr="003E5DF9">
        <w:t>Group Discussion</w:t>
      </w:r>
    </w:p>
    <w:p w14:paraId="1C9F4E6C" w14:textId="77777777" w:rsidR="007D47C7" w:rsidRPr="003E5DF9" w:rsidRDefault="007D47C7" w:rsidP="007D47C7">
      <w:pPr>
        <w:pStyle w:val="Default"/>
        <w:numPr>
          <w:ilvl w:val="0"/>
          <w:numId w:val="13"/>
        </w:numPr>
      </w:pPr>
      <w:r w:rsidRPr="003E5DF9">
        <w:t>Tutorials</w:t>
      </w:r>
    </w:p>
    <w:p w14:paraId="26905017" w14:textId="77777777" w:rsidR="007D47C7" w:rsidRPr="003E5DF9" w:rsidRDefault="007D47C7" w:rsidP="007D47C7">
      <w:pPr>
        <w:pStyle w:val="Default"/>
        <w:rPr>
          <w:b/>
        </w:rPr>
      </w:pPr>
    </w:p>
    <w:p w14:paraId="095D4771" w14:textId="77777777" w:rsidR="007D47C7" w:rsidRPr="003E5DF9" w:rsidRDefault="007D47C7" w:rsidP="007D47C7">
      <w:pPr>
        <w:pStyle w:val="Default"/>
        <w:rPr>
          <w:b/>
        </w:rPr>
      </w:pPr>
      <w:r w:rsidRPr="003E5DF9">
        <w:rPr>
          <w:b/>
        </w:rPr>
        <w:t>Mode of Assessment</w:t>
      </w:r>
    </w:p>
    <w:p w14:paraId="5A8A7FA8" w14:textId="77777777" w:rsidR="007D47C7" w:rsidRPr="003E5DF9" w:rsidRDefault="007D47C7" w:rsidP="007D47C7">
      <w:pPr>
        <w:pStyle w:val="Default"/>
        <w:numPr>
          <w:ilvl w:val="0"/>
          <w:numId w:val="13"/>
        </w:numPr>
      </w:pPr>
      <w:r w:rsidRPr="003E5DF9">
        <w:t>Course work</w:t>
      </w:r>
      <w:r w:rsidRPr="003E5DF9">
        <w:tab/>
        <w:t xml:space="preserve">- </w:t>
      </w:r>
      <w:r w:rsidRPr="003E5DF9">
        <w:tab/>
        <w:t>30%</w:t>
      </w:r>
    </w:p>
    <w:p w14:paraId="0E50466C" w14:textId="77777777" w:rsidR="007D47C7" w:rsidRPr="003E5DF9" w:rsidRDefault="007D47C7" w:rsidP="007D47C7">
      <w:pPr>
        <w:pStyle w:val="Default"/>
        <w:numPr>
          <w:ilvl w:val="0"/>
          <w:numId w:val="13"/>
        </w:numPr>
      </w:pPr>
      <w:r w:rsidRPr="003E5DF9">
        <w:t>Examination</w:t>
      </w:r>
      <w:r w:rsidRPr="003E5DF9">
        <w:tab/>
        <w:t>-</w:t>
      </w:r>
      <w:r w:rsidRPr="003E5DF9">
        <w:tab/>
        <w:t>70%</w:t>
      </w:r>
    </w:p>
    <w:p w14:paraId="38AA5069" w14:textId="77777777" w:rsidR="007D47C7" w:rsidRDefault="007D47C7" w:rsidP="00D46774">
      <w:pPr>
        <w:pStyle w:val="Default"/>
        <w:rPr>
          <w:b/>
        </w:rPr>
      </w:pPr>
    </w:p>
    <w:p w14:paraId="78DBA84E" w14:textId="77777777" w:rsidR="00D46774" w:rsidRPr="003E5DF9" w:rsidRDefault="00D46774" w:rsidP="00D46774">
      <w:pPr>
        <w:pStyle w:val="Default"/>
        <w:rPr>
          <w:b/>
        </w:rPr>
      </w:pPr>
      <w:r w:rsidRPr="003E5DF9">
        <w:rPr>
          <w:b/>
        </w:rPr>
        <w:t>Reading list</w:t>
      </w:r>
    </w:p>
    <w:p w14:paraId="1DD4A236" w14:textId="77777777" w:rsidR="00D46774" w:rsidRPr="003E5DF9" w:rsidRDefault="00D46774" w:rsidP="00D46774">
      <w:pPr>
        <w:rPr>
          <w:color w:val="000000"/>
        </w:rPr>
      </w:pPr>
      <w:r w:rsidRPr="003E5DF9">
        <w:rPr>
          <w:color w:val="000000"/>
        </w:rPr>
        <w:t xml:space="preserve">Powers, M., Needles, E.B., and </w:t>
      </w:r>
      <w:proofErr w:type="spellStart"/>
      <w:r w:rsidRPr="003E5DF9">
        <w:rPr>
          <w:color w:val="000000"/>
        </w:rPr>
        <w:t>Crosson</w:t>
      </w:r>
      <w:proofErr w:type="spellEnd"/>
      <w:r w:rsidRPr="003E5DF9">
        <w:rPr>
          <w:color w:val="000000"/>
        </w:rPr>
        <w:t>, V.S. (2011). Accounting Principles. 11th Ed. South-</w:t>
      </w:r>
      <w:r w:rsidRPr="003E5DF9">
        <w:rPr>
          <w:color w:val="000000"/>
        </w:rPr>
        <w:tab/>
        <w:t xml:space="preserve">Western. </w:t>
      </w:r>
      <w:proofErr w:type="spellStart"/>
      <w:r w:rsidRPr="003E5DF9">
        <w:rPr>
          <w:color w:val="000000"/>
        </w:rPr>
        <w:t>Cengege</w:t>
      </w:r>
      <w:proofErr w:type="spellEnd"/>
      <w:r w:rsidRPr="003E5DF9">
        <w:rPr>
          <w:color w:val="000000"/>
        </w:rPr>
        <w:t xml:space="preserve"> Learning</w:t>
      </w:r>
    </w:p>
    <w:p w14:paraId="015FBE6C" w14:textId="77777777" w:rsidR="00D46774" w:rsidRPr="003E5DF9" w:rsidRDefault="00D46774" w:rsidP="00D46774">
      <w:pPr>
        <w:rPr>
          <w:color w:val="000000"/>
        </w:rPr>
      </w:pPr>
      <w:r w:rsidRPr="003E5DF9">
        <w:rPr>
          <w:color w:val="000000"/>
        </w:rPr>
        <w:t xml:space="preserve">Gibson, H.C. (2007). Financial Reporting and analysis Using Accounting Information. 10th Ed. </w:t>
      </w:r>
      <w:r w:rsidRPr="003E5DF9">
        <w:rPr>
          <w:color w:val="000000"/>
        </w:rPr>
        <w:tab/>
        <w:t xml:space="preserve">South-Western. </w:t>
      </w:r>
      <w:proofErr w:type="spellStart"/>
      <w:r w:rsidRPr="003E5DF9">
        <w:rPr>
          <w:color w:val="000000"/>
        </w:rPr>
        <w:t>Cengege</w:t>
      </w:r>
      <w:proofErr w:type="spellEnd"/>
      <w:r w:rsidRPr="003E5DF9">
        <w:rPr>
          <w:color w:val="000000"/>
        </w:rPr>
        <w:t xml:space="preserve"> Learning</w:t>
      </w:r>
    </w:p>
    <w:p w14:paraId="5118EFAD" w14:textId="77777777" w:rsidR="00D46774" w:rsidRPr="003E5DF9" w:rsidRDefault="00D46774" w:rsidP="00D46774">
      <w:pPr>
        <w:rPr>
          <w:color w:val="000000"/>
        </w:rPr>
      </w:pPr>
      <w:proofErr w:type="spellStart"/>
      <w:r w:rsidRPr="003E5DF9">
        <w:rPr>
          <w:color w:val="000000"/>
        </w:rPr>
        <w:lastRenderedPageBreak/>
        <w:t>Sa´nchez-Rodrı´guez</w:t>
      </w:r>
      <w:proofErr w:type="spellEnd"/>
      <w:r w:rsidRPr="003E5DF9">
        <w:rPr>
          <w:color w:val="000000"/>
        </w:rPr>
        <w:t xml:space="preserve">, C., and </w:t>
      </w:r>
      <w:proofErr w:type="spellStart"/>
      <w:r w:rsidRPr="003E5DF9">
        <w:rPr>
          <w:color w:val="000000"/>
        </w:rPr>
        <w:t>Spraakman</w:t>
      </w:r>
      <w:proofErr w:type="spellEnd"/>
      <w:r w:rsidRPr="003E5DF9">
        <w:rPr>
          <w:color w:val="000000"/>
        </w:rPr>
        <w:t xml:space="preserve">, G. (2012), “ERP systems and management accounting: </w:t>
      </w:r>
      <w:r w:rsidRPr="003E5DF9">
        <w:rPr>
          <w:color w:val="000000"/>
        </w:rPr>
        <w:tab/>
        <w:t xml:space="preserve">a multiple case study”, </w:t>
      </w:r>
      <w:r w:rsidRPr="003E5DF9">
        <w:rPr>
          <w:i/>
          <w:color w:val="000000"/>
        </w:rPr>
        <w:t>Qualitative Research in Accounting &amp; Management</w:t>
      </w:r>
      <w:r w:rsidRPr="003E5DF9">
        <w:rPr>
          <w:color w:val="000000"/>
        </w:rPr>
        <w:t xml:space="preserve">, Vol. 9 No. 4 </w:t>
      </w:r>
      <w:r w:rsidRPr="003E5DF9">
        <w:rPr>
          <w:color w:val="000000"/>
        </w:rPr>
        <w:tab/>
        <w:t>pp. 398-414</w:t>
      </w:r>
    </w:p>
    <w:p w14:paraId="44AFB3C3" w14:textId="77777777" w:rsidR="00D46774" w:rsidRPr="003E5DF9" w:rsidRDefault="00D46774" w:rsidP="00D46774">
      <w:pPr>
        <w:rPr>
          <w:color w:val="000000"/>
        </w:rPr>
      </w:pPr>
      <w:r w:rsidRPr="003E5DF9">
        <w:rPr>
          <w:color w:val="000000"/>
        </w:rPr>
        <w:t xml:space="preserve">Gouws, D.G., and </w:t>
      </w:r>
      <w:proofErr w:type="spellStart"/>
      <w:r w:rsidRPr="003E5DF9">
        <w:rPr>
          <w:color w:val="000000"/>
        </w:rPr>
        <w:t>Lucouw</w:t>
      </w:r>
      <w:proofErr w:type="spellEnd"/>
      <w:r w:rsidRPr="003E5DF9">
        <w:rPr>
          <w:color w:val="000000"/>
        </w:rPr>
        <w:t xml:space="preserve">, P. (2000), “A dynamic balance model for analysts and managers”, </w:t>
      </w:r>
      <w:r w:rsidRPr="003E5DF9">
        <w:rPr>
          <w:color w:val="000000"/>
        </w:rPr>
        <w:tab/>
      </w:r>
      <w:proofErr w:type="spellStart"/>
      <w:r w:rsidRPr="003E5DF9">
        <w:rPr>
          <w:i/>
          <w:color w:val="000000"/>
        </w:rPr>
        <w:t>Meditari</w:t>
      </w:r>
      <w:proofErr w:type="spellEnd"/>
      <w:r w:rsidRPr="003E5DF9">
        <w:rPr>
          <w:i/>
          <w:color w:val="000000"/>
        </w:rPr>
        <w:t xml:space="preserve"> Accountancy Research</w:t>
      </w:r>
      <w:r w:rsidRPr="003E5DF9">
        <w:rPr>
          <w:color w:val="000000"/>
        </w:rPr>
        <w:t>, Vol. 8 pp. 25-45</w:t>
      </w:r>
    </w:p>
    <w:p w14:paraId="23902512" w14:textId="77777777" w:rsidR="00D46774" w:rsidRPr="003E5DF9" w:rsidRDefault="00D46774" w:rsidP="00D46774">
      <w:pPr>
        <w:rPr>
          <w:color w:val="000000"/>
        </w:rPr>
      </w:pPr>
      <w:proofErr w:type="spellStart"/>
      <w:r w:rsidRPr="003E5DF9">
        <w:rPr>
          <w:color w:val="000000"/>
        </w:rPr>
        <w:t>Growe</w:t>
      </w:r>
      <w:proofErr w:type="spellEnd"/>
      <w:r w:rsidRPr="003E5DF9">
        <w:rPr>
          <w:color w:val="000000"/>
        </w:rPr>
        <w:t xml:space="preserve"> G, </w:t>
      </w:r>
      <w:proofErr w:type="spellStart"/>
      <w:r w:rsidRPr="003E5DF9">
        <w:rPr>
          <w:color w:val="000000"/>
        </w:rPr>
        <w:t>DeBruine</w:t>
      </w:r>
      <w:proofErr w:type="spellEnd"/>
      <w:r w:rsidRPr="003E5DF9">
        <w:rPr>
          <w:color w:val="000000"/>
        </w:rPr>
        <w:t xml:space="preserve"> M, Lee JY and </w:t>
      </w:r>
      <w:proofErr w:type="spellStart"/>
      <w:r w:rsidRPr="003E5DF9">
        <w:rPr>
          <w:color w:val="000000"/>
        </w:rPr>
        <w:t>Tudón</w:t>
      </w:r>
      <w:proofErr w:type="spellEnd"/>
      <w:r w:rsidRPr="003E5DF9">
        <w:rPr>
          <w:color w:val="000000"/>
        </w:rPr>
        <w:t xml:space="preserve"> Maldonado JF (2014). The profitability and </w:t>
      </w:r>
      <w:r w:rsidRPr="003E5DF9">
        <w:rPr>
          <w:color w:val="000000"/>
        </w:rPr>
        <w:tab/>
        <w:t xml:space="preserve">performance measurement of us regional banks using the predictive focus of the </w:t>
      </w:r>
      <w:r w:rsidRPr="003E5DF9">
        <w:rPr>
          <w:color w:val="000000"/>
        </w:rPr>
        <w:tab/>
        <w:t xml:space="preserve">“Fundamental Analysis Research”. Advances in Management Accounting Emerald Group </w:t>
      </w:r>
      <w:r w:rsidRPr="003E5DF9">
        <w:rPr>
          <w:color w:val="000000"/>
        </w:rPr>
        <w:tab/>
        <w:t>Publishing Limited, 24: 189-237.</w:t>
      </w:r>
    </w:p>
    <w:p w14:paraId="6BEAE639" w14:textId="77777777" w:rsidR="00D46774" w:rsidRDefault="00D46774" w:rsidP="00D46774">
      <w:pPr>
        <w:contextualSpacing/>
        <w:rPr>
          <w:color w:val="000000" w:themeColor="text1"/>
        </w:rPr>
      </w:pPr>
    </w:p>
    <w:p w14:paraId="2D8F0BE0" w14:textId="77777777" w:rsidR="00BC3484" w:rsidRDefault="007D47C7">
      <w:r>
        <w:t>Facilitators:</w:t>
      </w:r>
    </w:p>
    <w:p w14:paraId="63C74AE4" w14:textId="2AE4D591" w:rsidR="007D47C7" w:rsidRDefault="007D47C7" w:rsidP="007D47C7">
      <w:pPr>
        <w:pStyle w:val="ListParagraph"/>
        <w:numPr>
          <w:ilvl w:val="0"/>
          <w:numId w:val="17"/>
        </w:numPr>
      </w:pPr>
      <w:proofErr w:type="spellStart"/>
      <w:r>
        <w:t>Dr.</w:t>
      </w:r>
      <w:proofErr w:type="spellEnd"/>
      <w:r>
        <w:t xml:space="preserve"> Gorrettie Nakyeyune </w:t>
      </w:r>
      <w:r w:rsidR="00602865">
        <w:t>-Nakawa -</w:t>
      </w:r>
      <w:r>
        <w:tab/>
        <w:t>0706999808</w:t>
      </w:r>
    </w:p>
    <w:p w14:paraId="6F9107B5" w14:textId="03A95934" w:rsidR="007D47C7" w:rsidRDefault="007D47C7" w:rsidP="007D47C7">
      <w:pPr>
        <w:pStyle w:val="ListParagraph"/>
        <w:numPr>
          <w:ilvl w:val="0"/>
          <w:numId w:val="17"/>
        </w:numPr>
      </w:pPr>
      <w:proofErr w:type="spellStart"/>
      <w:r>
        <w:t>Kezaabu</w:t>
      </w:r>
      <w:proofErr w:type="spellEnd"/>
      <w:r>
        <w:t xml:space="preserve"> </w:t>
      </w:r>
      <w:proofErr w:type="spellStart"/>
      <w:r>
        <w:t>Saphura</w:t>
      </w:r>
      <w:proofErr w:type="spellEnd"/>
      <w:r>
        <w:t xml:space="preserve"> – </w:t>
      </w:r>
      <w:r w:rsidR="00602865">
        <w:t>Nakawa</w:t>
      </w:r>
      <w:r>
        <w:tab/>
      </w:r>
      <w:r w:rsidR="00602865">
        <w:t>- 0759057107</w:t>
      </w:r>
      <w:r>
        <w:tab/>
      </w:r>
    </w:p>
    <w:p w14:paraId="29E1A6C3" w14:textId="5A7466BD" w:rsidR="007D47C7" w:rsidRDefault="007D47C7" w:rsidP="007D47C7">
      <w:pPr>
        <w:pStyle w:val="ListParagraph"/>
        <w:numPr>
          <w:ilvl w:val="0"/>
          <w:numId w:val="17"/>
        </w:numPr>
      </w:pPr>
      <w:r>
        <w:t xml:space="preserve">Calvin </w:t>
      </w:r>
      <w:proofErr w:type="spellStart"/>
      <w:r w:rsidR="00F22AC3">
        <w:t>A</w:t>
      </w:r>
      <w:r>
        <w:t>rinawe</w:t>
      </w:r>
      <w:proofErr w:type="spellEnd"/>
      <w:r>
        <w:t xml:space="preserve"> – </w:t>
      </w:r>
      <w:r w:rsidR="00602865">
        <w:t>Nakawa - 0756401658</w:t>
      </w:r>
    </w:p>
    <w:p w14:paraId="7E7E7406" w14:textId="1C3C5EE4" w:rsidR="00602865" w:rsidRDefault="00602865" w:rsidP="007D47C7">
      <w:pPr>
        <w:pStyle w:val="ListParagraph"/>
        <w:numPr>
          <w:ilvl w:val="0"/>
          <w:numId w:val="17"/>
        </w:numPr>
      </w:pPr>
      <w:r>
        <w:t xml:space="preserve">James </w:t>
      </w:r>
      <w:proofErr w:type="spellStart"/>
      <w:r>
        <w:t>Odong</w:t>
      </w:r>
      <w:proofErr w:type="spellEnd"/>
      <w:r>
        <w:t xml:space="preserve"> – Jinja - 0782891766</w:t>
      </w:r>
    </w:p>
    <w:p w14:paraId="5ADDEA9D" w14:textId="4D7EF736" w:rsidR="00602865" w:rsidRDefault="00602865" w:rsidP="007D47C7">
      <w:pPr>
        <w:pStyle w:val="ListParagraph"/>
        <w:numPr>
          <w:ilvl w:val="0"/>
          <w:numId w:val="17"/>
        </w:numPr>
      </w:pPr>
      <w:r>
        <w:t xml:space="preserve">Rachael </w:t>
      </w:r>
      <w:proofErr w:type="spellStart"/>
      <w:r>
        <w:t>Nturaninshaba</w:t>
      </w:r>
      <w:proofErr w:type="spellEnd"/>
      <w:r>
        <w:t xml:space="preserve"> – Mbarara Campus - 0782748855</w:t>
      </w:r>
    </w:p>
    <w:p w14:paraId="2208BC39" w14:textId="47C6BE5B" w:rsidR="00602865" w:rsidRDefault="00602865" w:rsidP="007D47C7">
      <w:pPr>
        <w:pStyle w:val="ListParagraph"/>
        <w:numPr>
          <w:ilvl w:val="0"/>
          <w:numId w:val="17"/>
        </w:numPr>
      </w:pPr>
      <w:proofErr w:type="spellStart"/>
      <w:r>
        <w:t>Okalang</w:t>
      </w:r>
      <w:proofErr w:type="spellEnd"/>
      <w:r>
        <w:t xml:space="preserve"> – </w:t>
      </w:r>
      <w:proofErr w:type="spellStart"/>
      <w:r>
        <w:t>Mbale</w:t>
      </w:r>
      <w:proofErr w:type="spellEnd"/>
      <w:r>
        <w:t xml:space="preserve"> Campus - 0704903916</w:t>
      </w:r>
    </w:p>
    <w:p w14:paraId="79E31214" w14:textId="61634691" w:rsidR="00602865" w:rsidRDefault="00602865" w:rsidP="007D47C7">
      <w:pPr>
        <w:pStyle w:val="ListParagraph"/>
        <w:numPr>
          <w:ilvl w:val="0"/>
          <w:numId w:val="17"/>
        </w:numPr>
      </w:pPr>
      <w:r>
        <w:t xml:space="preserve">Peter </w:t>
      </w:r>
      <w:proofErr w:type="spellStart"/>
      <w:r>
        <w:t>Emuron</w:t>
      </w:r>
      <w:proofErr w:type="spellEnd"/>
      <w:r>
        <w:t xml:space="preserve"> – </w:t>
      </w:r>
      <w:proofErr w:type="spellStart"/>
      <w:r>
        <w:t>Arua</w:t>
      </w:r>
      <w:proofErr w:type="spellEnd"/>
      <w:r>
        <w:t xml:space="preserve"> Campus</w:t>
      </w:r>
      <w:r w:rsidR="00F22AC3">
        <w:t>-0705616297</w:t>
      </w:r>
      <w:bookmarkStart w:id="0" w:name="_GoBack"/>
      <w:bookmarkEnd w:id="0"/>
    </w:p>
    <w:p w14:paraId="50C751FE" w14:textId="77777777" w:rsidR="007D47C7" w:rsidRDefault="007D47C7" w:rsidP="007D47C7"/>
    <w:p w14:paraId="09A15E3C" w14:textId="77777777" w:rsidR="007D47C7" w:rsidRDefault="007D47C7" w:rsidP="007D47C7"/>
    <w:p w14:paraId="37D856A0" w14:textId="77777777" w:rsidR="00602865" w:rsidRDefault="007D47C7" w:rsidP="007D47C7">
      <w:r>
        <w:t xml:space="preserve">Approved: </w:t>
      </w:r>
      <w:r>
        <w:tab/>
      </w:r>
      <w:r>
        <w:tab/>
      </w:r>
      <w:r>
        <w:tab/>
      </w:r>
    </w:p>
    <w:p w14:paraId="29D37BAE" w14:textId="5147BE11" w:rsidR="00602865" w:rsidRDefault="00602865" w:rsidP="00602865">
      <w:pPr>
        <w:ind w:firstLine="720"/>
      </w:pPr>
      <w:r>
        <w:tab/>
      </w:r>
      <w:proofErr w:type="spellStart"/>
      <w:r>
        <w:t>Dr.</w:t>
      </w:r>
      <w:proofErr w:type="spellEnd"/>
      <w:r>
        <w:t xml:space="preserve"> Gorrettie Nakyeyune</w:t>
      </w:r>
      <w:r>
        <w:tab/>
      </w:r>
      <w:r>
        <w:tab/>
      </w:r>
      <w:r>
        <w:tab/>
        <w:t xml:space="preserve">Prof. </w:t>
      </w:r>
      <w:proofErr w:type="spellStart"/>
      <w:r>
        <w:t>Matama</w:t>
      </w:r>
      <w:proofErr w:type="spellEnd"/>
      <w:r>
        <w:t xml:space="preserve"> Rogers</w:t>
      </w:r>
    </w:p>
    <w:p w14:paraId="0EA8D8ED" w14:textId="20E86BAA" w:rsidR="007D47C7" w:rsidRDefault="00602865" w:rsidP="00602865">
      <w:pPr>
        <w:ind w:left="720" w:firstLine="720"/>
      </w:pPr>
      <w:r>
        <w:t xml:space="preserve">Team Leader </w:t>
      </w:r>
      <w:r>
        <w:tab/>
      </w:r>
      <w:r>
        <w:tab/>
      </w:r>
      <w:r>
        <w:tab/>
      </w:r>
      <w:r>
        <w:tab/>
      </w:r>
      <w:r>
        <w:tab/>
      </w:r>
      <w:r w:rsidR="007D47C7">
        <w:t xml:space="preserve">Head of Department: </w:t>
      </w:r>
    </w:p>
    <w:p w14:paraId="7E96A741" w14:textId="77777777" w:rsidR="007D47C7" w:rsidRDefault="007D47C7"/>
    <w:sectPr w:rsidR="007D4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31F8"/>
    <w:multiLevelType w:val="hybridMultilevel"/>
    <w:tmpl w:val="84E4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8B2B6">
      <w:numFmt w:val="bullet"/>
      <w:lvlText w:val="−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14C4"/>
    <w:multiLevelType w:val="hybridMultilevel"/>
    <w:tmpl w:val="C4DA7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F4295"/>
    <w:multiLevelType w:val="hybridMultilevel"/>
    <w:tmpl w:val="FD4E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72F8"/>
    <w:multiLevelType w:val="hybridMultilevel"/>
    <w:tmpl w:val="E342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736"/>
    <w:multiLevelType w:val="hybridMultilevel"/>
    <w:tmpl w:val="5B9E493A"/>
    <w:lvl w:ilvl="0" w:tplc="DB7CE87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468AA"/>
    <w:multiLevelType w:val="hybridMultilevel"/>
    <w:tmpl w:val="31584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856A1"/>
    <w:multiLevelType w:val="hybridMultilevel"/>
    <w:tmpl w:val="4252A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07F4A"/>
    <w:multiLevelType w:val="hybridMultilevel"/>
    <w:tmpl w:val="2DC079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434F73"/>
    <w:multiLevelType w:val="hybridMultilevel"/>
    <w:tmpl w:val="CBD42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03E76"/>
    <w:multiLevelType w:val="hybridMultilevel"/>
    <w:tmpl w:val="093A6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91F24"/>
    <w:multiLevelType w:val="hybridMultilevel"/>
    <w:tmpl w:val="C21AF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2278E"/>
    <w:multiLevelType w:val="hybridMultilevel"/>
    <w:tmpl w:val="3F5A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26C47"/>
    <w:multiLevelType w:val="hybridMultilevel"/>
    <w:tmpl w:val="64906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40E3F"/>
    <w:multiLevelType w:val="hybridMultilevel"/>
    <w:tmpl w:val="6B46C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A2517"/>
    <w:multiLevelType w:val="hybridMultilevel"/>
    <w:tmpl w:val="5BFE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E42A9"/>
    <w:multiLevelType w:val="hybridMultilevel"/>
    <w:tmpl w:val="11B2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F6660"/>
    <w:multiLevelType w:val="hybridMultilevel"/>
    <w:tmpl w:val="8FEE49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1"/>
  </w:num>
  <w:num w:numId="11">
    <w:abstractNumId w:val="16"/>
  </w:num>
  <w:num w:numId="12">
    <w:abstractNumId w:val="10"/>
  </w:num>
  <w:num w:numId="13">
    <w:abstractNumId w:val="15"/>
  </w:num>
  <w:num w:numId="14">
    <w:abstractNumId w:val="3"/>
  </w:num>
  <w:num w:numId="15">
    <w:abstractNumId w:val="14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74"/>
    <w:rsid w:val="00602865"/>
    <w:rsid w:val="007D47C7"/>
    <w:rsid w:val="00A7114B"/>
    <w:rsid w:val="00BC3484"/>
    <w:rsid w:val="00D46774"/>
    <w:rsid w:val="00F0595E"/>
    <w:rsid w:val="00F2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90482"/>
  <w15:chartTrackingRefBased/>
  <w15:docId w15:val="{81695E2F-2E0A-4305-BD1C-39DFBE1C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D467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6774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styleId="TableGrid">
    <w:name w:val="Table Grid"/>
    <w:basedOn w:val="TableNormal"/>
    <w:rsid w:val="00D46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467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D4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1500</Words>
  <Characters>8012</Characters>
  <Application>Microsoft Office Word</Application>
  <DocSecurity>0</DocSecurity>
  <Lines>242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5</cp:revision>
  <dcterms:created xsi:type="dcterms:W3CDTF">2025-01-21T18:24:00Z</dcterms:created>
  <dcterms:modified xsi:type="dcterms:W3CDTF">2025-01-22T08:22:00Z</dcterms:modified>
</cp:coreProperties>
</file>